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6A38F4">
      <w:pPr>
        <w:jc w:val="center"/>
        <w:rPr>
          <w:rFonts w:hint="eastAsia" w:ascii="仿宋_GB2312" w:hAnsi="仿宋_GB2312" w:eastAsia="仿宋_GB2312" w:cs="仿宋_GB2312"/>
          <w:b/>
          <w:bCs/>
          <w:sz w:val="36"/>
          <w:szCs w:val="36"/>
          <w:lang w:val="en-US" w:eastAsia="zh-CN"/>
        </w:rPr>
      </w:pPr>
      <w:r>
        <w:rPr>
          <w:rFonts w:hint="eastAsia" w:ascii="仿宋_GB2312" w:hAnsi="仿宋_GB2312" w:eastAsia="仿宋_GB2312" w:cs="仿宋_GB2312"/>
          <w:b/>
          <w:bCs/>
          <w:sz w:val="36"/>
          <w:szCs w:val="36"/>
          <w:lang w:val="en-US" w:eastAsia="zh-CN"/>
        </w:rPr>
        <w:t>报价单</w:t>
      </w:r>
    </w:p>
    <w:p w14:paraId="3F6D85C0">
      <w:pPr>
        <w:rPr>
          <w:rFonts w:hint="eastAsia" w:ascii="仿宋_GB2312" w:hAnsi="仿宋_GB2312" w:eastAsia="仿宋_GB2312" w:cs="仿宋_GB2312"/>
          <w:sz w:val="4"/>
          <w:szCs w:val="4"/>
          <w:lang w:val="en-US" w:eastAsia="zh-CN"/>
        </w:rPr>
      </w:pPr>
    </w:p>
    <w:p w14:paraId="00355EAF">
      <w:pPr>
        <w:pStyle w:val="3"/>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项目名称：公司2026年度车辆保险服务采购项目</w:t>
      </w:r>
    </w:p>
    <w:p w14:paraId="4652E4CE">
      <w:pPr>
        <w:rPr>
          <w:rFonts w:hint="eastAsia" w:ascii="仿宋_GB2312" w:hAnsi="仿宋_GB2312" w:eastAsia="仿宋_GB2312" w:cs="仿宋_GB2312"/>
          <w:b/>
          <w:bCs/>
          <w:sz w:val="24"/>
          <w:szCs w:val="32"/>
          <w:lang w:val="en-US" w:eastAsia="zh-CN"/>
        </w:rPr>
      </w:pPr>
      <w:r>
        <w:rPr>
          <w:rFonts w:hint="eastAsia" w:ascii="仿宋_GB2312" w:hAnsi="仿宋_GB2312" w:eastAsia="仿宋_GB2312" w:cs="仿宋_GB2312"/>
          <w:b/>
          <w:bCs/>
          <w:sz w:val="24"/>
          <w:szCs w:val="32"/>
          <w:lang w:val="en-US" w:eastAsia="zh-CN"/>
        </w:rPr>
        <w:t>一、报价</w:t>
      </w:r>
    </w:p>
    <w:tbl>
      <w:tblPr>
        <w:tblStyle w:val="6"/>
        <w:tblW w:w="83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4"/>
        <w:gridCol w:w="2190"/>
        <w:gridCol w:w="4030"/>
      </w:tblGrid>
      <w:tr w14:paraId="01576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2104" w:type="dxa"/>
            <w:shd w:val="clear" w:color="auto" w:fill="DBE5F1"/>
            <w:vAlign w:val="center"/>
          </w:tcPr>
          <w:p w14:paraId="607D8629">
            <w:pPr>
              <w:widowControl w:val="0"/>
              <w:autoSpaceDE w:val="0"/>
              <w:autoSpaceDN w:val="0"/>
              <w:adjustRightInd w:val="0"/>
              <w:snapToGrid w:val="0"/>
              <w:ind w:firstLine="0" w:firstLineChars="0"/>
              <w:jc w:val="center"/>
              <w:rPr>
                <w:rFonts w:hint="default"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lang w:val="en-US" w:eastAsia="zh-CN"/>
              </w:rPr>
              <w:t>车辆类型</w:t>
            </w:r>
          </w:p>
        </w:tc>
        <w:tc>
          <w:tcPr>
            <w:tcW w:w="2190" w:type="dxa"/>
            <w:shd w:val="clear" w:color="auto" w:fill="DBE5F1"/>
            <w:vAlign w:val="center"/>
          </w:tcPr>
          <w:p w14:paraId="0212B5DA">
            <w:pPr>
              <w:widowControl w:val="0"/>
              <w:autoSpaceDE w:val="0"/>
              <w:autoSpaceDN w:val="0"/>
              <w:adjustRightInd w:val="0"/>
              <w:snapToGrid w:val="0"/>
              <w:ind w:firstLine="0" w:firstLineChars="0"/>
              <w:jc w:val="center"/>
              <w:rPr>
                <w:rFonts w:hint="default"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lang w:val="en-US" w:eastAsia="zh-CN"/>
              </w:rPr>
              <w:t>自主定价系数</w:t>
            </w:r>
          </w:p>
        </w:tc>
        <w:tc>
          <w:tcPr>
            <w:tcW w:w="4030" w:type="dxa"/>
            <w:shd w:val="clear" w:color="auto" w:fill="DBE5F1"/>
            <w:vAlign w:val="center"/>
          </w:tcPr>
          <w:p w14:paraId="4EF59BF9">
            <w:pPr>
              <w:widowControl w:val="0"/>
              <w:autoSpaceDE w:val="0"/>
              <w:autoSpaceDN w:val="0"/>
              <w:adjustRightInd w:val="0"/>
              <w:snapToGrid w:val="0"/>
              <w:ind w:firstLine="0" w:firstLineChars="0"/>
              <w:jc w:val="center"/>
              <w:rPr>
                <w:rFonts w:hint="eastAsia" w:ascii="仿宋_GB2312" w:hAnsi="仿宋_GB2312" w:eastAsia="仿宋_GB2312" w:cs="仿宋_GB2312"/>
                <w:b/>
                <w:sz w:val="24"/>
                <w:szCs w:val="24"/>
                <w:lang w:eastAsia="zh-CN"/>
              </w:rPr>
            </w:pPr>
            <w:r>
              <w:rPr>
                <w:rFonts w:hint="eastAsia" w:ascii="仿宋_GB2312" w:hAnsi="仿宋_GB2312" w:eastAsia="仿宋_GB2312" w:cs="仿宋_GB2312"/>
                <w:b/>
                <w:sz w:val="24"/>
                <w:szCs w:val="24"/>
                <w:lang w:val="en-US" w:eastAsia="zh-CN"/>
              </w:rPr>
              <w:t>备注</w:t>
            </w:r>
          </w:p>
        </w:tc>
      </w:tr>
      <w:tr w14:paraId="23EAA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2104" w:type="dxa"/>
            <w:vAlign w:val="center"/>
          </w:tcPr>
          <w:p w14:paraId="0E050F3B">
            <w:pPr>
              <w:widowControl w:val="0"/>
              <w:autoSpaceDE w:val="0"/>
              <w:autoSpaceDN w:val="0"/>
              <w:adjustRightInd w:val="0"/>
              <w:snapToGrid w:val="0"/>
              <w:ind w:firstLine="0" w:firstLine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燃油客车</w:t>
            </w:r>
          </w:p>
        </w:tc>
        <w:tc>
          <w:tcPr>
            <w:tcW w:w="2190" w:type="dxa"/>
            <w:vAlign w:val="center"/>
          </w:tcPr>
          <w:p w14:paraId="45430347">
            <w:pPr>
              <w:widowControl w:val="0"/>
              <w:autoSpaceDE w:val="0"/>
              <w:autoSpaceDN w:val="0"/>
              <w:adjustRightInd w:val="0"/>
              <w:snapToGrid w:val="0"/>
              <w:ind w:firstLine="0" w:firstLineChars="0"/>
              <w:jc w:val="center"/>
              <w:rPr>
                <w:rFonts w:hint="eastAsia" w:ascii="仿宋_GB2312" w:hAnsi="仿宋_GB2312" w:eastAsia="仿宋_GB2312" w:cs="仿宋_GB2312"/>
                <w:sz w:val="24"/>
                <w:szCs w:val="24"/>
              </w:rPr>
            </w:pPr>
          </w:p>
        </w:tc>
        <w:tc>
          <w:tcPr>
            <w:tcW w:w="4030" w:type="dxa"/>
            <w:vMerge w:val="restart"/>
            <w:vAlign w:val="center"/>
          </w:tcPr>
          <w:p w14:paraId="3535AB0C">
            <w:pPr>
              <w:widowControl w:val="0"/>
              <w:autoSpaceDE w:val="0"/>
              <w:autoSpaceDN w:val="0"/>
              <w:adjustRightInd w:val="0"/>
              <w:snapToGrid w:val="0"/>
              <w:ind w:firstLine="0" w:firstLineChars="0"/>
              <w:jc w:val="center"/>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sz w:val="24"/>
                <w:szCs w:val="32"/>
                <w:lang w:val="en-US" w:eastAsia="zh-CN"/>
              </w:rPr>
              <w:t>非营运</w:t>
            </w:r>
          </w:p>
          <w:p w14:paraId="08F57A06">
            <w:pPr>
              <w:widowControl w:val="0"/>
              <w:autoSpaceDE w:val="0"/>
              <w:autoSpaceDN w:val="0"/>
              <w:adjustRightInd w:val="0"/>
              <w:snapToGrid w:val="0"/>
              <w:ind w:firstLine="0" w:firstLineChars="0"/>
              <w:jc w:val="center"/>
              <w:rPr>
                <w:rFonts w:hint="default" w:ascii="仿宋_GB2312" w:hAnsi="仿宋_GB2312" w:eastAsia="黑体" w:cs="仿宋_GB2312"/>
                <w:lang w:val="en-US" w:eastAsia="zh-CN"/>
              </w:rPr>
            </w:pPr>
            <w:r>
              <w:rPr>
                <w:rFonts w:hint="eastAsia" w:ascii="仿宋_GB2312" w:hAnsi="仿宋_GB2312" w:eastAsia="仿宋_GB2312" w:cs="仿宋_GB2312"/>
                <w:sz w:val="24"/>
                <w:szCs w:val="32"/>
                <w:lang w:val="en-US" w:eastAsia="zh-CN"/>
              </w:rPr>
              <w:t>0.5</w:t>
            </w:r>
            <w:r>
              <w:rPr>
                <w:rFonts w:hint="eastAsia" w:ascii="仿宋_GB2312" w:hAnsi="仿宋_GB2312" w:eastAsia="仿宋_GB2312" w:cs="仿宋_GB2312"/>
                <w:sz w:val="24"/>
                <w:szCs w:val="32"/>
              </w:rPr>
              <w:t>≤</w:t>
            </w:r>
            <w:r>
              <w:rPr>
                <w:rFonts w:hint="eastAsia" w:ascii="仿宋_GB2312" w:hAnsi="仿宋_GB2312" w:eastAsia="仿宋_GB2312" w:cs="仿宋_GB2312"/>
                <w:sz w:val="24"/>
                <w:szCs w:val="32"/>
                <w:lang w:val="en-US" w:eastAsia="zh-CN"/>
              </w:rPr>
              <w:t>自主定价系数</w:t>
            </w:r>
            <w:r>
              <w:rPr>
                <w:rFonts w:hint="eastAsia" w:ascii="仿宋_GB2312" w:hAnsi="仿宋_GB2312" w:eastAsia="仿宋_GB2312" w:cs="仿宋_GB2312"/>
                <w:sz w:val="24"/>
                <w:szCs w:val="32"/>
              </w:rPr>
              <w:t>≥</w:t>
            </w:r>
            <w:r>
              <w:rPr>
                <w:rFonts w:hint="eastAsia" w:ascii="仿宋_GB2312" w:hAnsi="仿宋_GB2312" w:eastAsia="仿宋_GB2312" w:cs="仿宋_GB2312"/>
                <w:sz w:val="24"/>
                <w:szCs w:val="32"/>
                <w:lang w:val="en-US" w:eastAsia="zh-CN"/>
              </w:rPr>
              <w:t>1.5</w:t>
            </w:r>
          </w:p>
        </w:tc>
      </w:tr>
      <w:tr w14:paraId="07CAB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2104" w:type="dxa"/>
            <w:vAlign w:val="center"/>
          </w:tcPr>
          <w:p w14:paraId="3934485A">
            <w:pPr>
              <w:widowControl w:val="0"/>
              <w:autoSpaceDE w:val="0"/>
              <w:autoSpaceDN w:val="0"/>
              <w:adjustRightInd w:val="0"/>
              <w:snapToGrid w:val="0"/>
              <w:ind w:firstLine="0" w:firstLine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燃油货车</w:t>
            </w:r>
          </w:p>
        </w:tc>
        <w:tc>
          <w:tcPr>
            <w:tcW w:w="2190" w:type="dxa"/>
            <w:vAlign w:val="center"/>
          </w:tcPr>
          <w:p w14:paraId="32FF0F40">
            <w:pPr>
              <w:widowControl w:val="0"/>
              <w:autoSpaceDE w:val="0"/>
              <w:autoSpaceDN w:val="0"/>
              <w:adjustRightInd w:val="0"/>
              <w:snapToGrid w:val="0"/>
              <w:ind w:firstLine="0" w:firstLineChars="0"/>
              <w:jc w:val="center"/>
              <w:rPr>
                <w:rFonts w:hint="eastAsia" w:ascii="仿宋_GB2312" w:hAnsi="仿宋_GB2312" w:eastAsia="仿宋_GB2312" w:cs="仿宋_GB2312"/>
                <w:sz w:val="24"/>
                <w:szCs w:val="24"/>
              </w:rPr>
            </w:pPr>
          </w:p>
        </w:tc>
        <w:tc>
          <w:tcPr>
            <w:tcW w:w="4030" w:type="dxa"/>
            <w:vMerge w:val="continue"/>
            <w:vAlign w:val="center"/>
          </w:tcPr>
          <w:p w14:paraId="2FD5BC11">
            <w:pPr>
              <w:widowControl w:val="0"/>
              <w:autoSpaceDE w:val="0"/>
              <w:autoSpaceDN w:val="0"/>
              <w:adjustRightInd w:val="0"/>
              <w:snapToGrid w:val="0"/>
              <w:ind w:firstLine="0" w:firstLineChars="0"/>
              <w:jc w:val="center"/>
              <w:rPr>
                <w:rFonts w:hint="eastAsia" w:ascii="仿宋_GB2312" w:hAnsi="仿宋_GB2312" w:eastAsia="仿宋_GB2312" w:cs="仿宋_GB2312"/>
                <w:sz w:val="24"/>
                <w:szCs w:val="32"/>
                <w:lang w:val="en-US" w:eastAsia="zh-CN"/>
              </w:rPr>
            </w:pPr>
          </w:p>
        </w:tc>
      </w:tr>
      <w:tr w14:paraId="37F73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2104" w:type="dxa"/>
            <w:vAlign w:val="center"/>
          </w:tcPr>
          <w:p w14:paraId="39CFA2AB">
            <w:pPr>
              <w:widowControl w:val="0"/>
              <w:autoSpaceDE w:val="0"/>
              <w:autoSpaceDN w:val="0"/>
              <w:adjustRightInd w:val="0"/>
              <w:snapToGrid w:val="0"/>
              <w:ind w:firstLine="0" w:firstLine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新能源客车</w:t>
            </w:r>
          </w:p>
        </w:tc>
        <w:tc>
          <w:tcPr>
            <w:tcW w:w="2190" w:type="dxa"/>
            <w:vAlign w:val="center"/>
          </w:tcPr>
          <w:p w14:paraId="6EBB4E23">
            <w:pPr>
              <w:widowControl w:val="0"/>
              <w:autoSpaceDE w:val="0"/>
              <w:autoSpaceDN w:val="0"/>
              <w:adjustRightInd w:val="0"/>
              <w:snapToGrid w:val="0"/>
              <w:ind w:firstLine="0" w:firstLineChars="0"/>
              <w:jc w:val="center"/>
              <w:rPr>
                <w:rFonts w:hint="eastAsia" w:ascii="仿宋_GB2312" w:hAnsi="仿宋_GB2312" w:eastAsia="仿宋_GB2312" w:cs="仿宋_GB2312"/>
                <w:sz w:val="24"/>
                <w:szCs w:val="24"/>
              </w:rPr>
            </w:pPr>
          </w:p>
        </w:tc>
        <w:tc>
          <w:tcPr>
            <w:tcW w:w="4030" w:type="dxa"/>
            <w:vMerge w:val="restart"/>
            <w:vAlign w:val="center"/>
          </w:tcPr>
          <w:p w14:paraId="271886C4">
            <w:pPr>
              <w:widowControl w:val="0"/>
              <w:autoSpaceDE w:val="0"/>
              <w:autoSpaceDN w:val="0"/>
              <w:adjustRightInd w:val="0"/>
              <w:snapToGrid w:val="0"/>
              <w:ind w:firstLine="0" w:firstLineChars="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非营运。</w:t>
            </w:r>
            <w:r>
              <w:rPr>
                <w:rFonts w:hint="eastAsia" w:ascii="仿宋_GB2312" w:hAnsi="仿宋_GB2312" w:eastAsia="仿宋_GB2312" w:cs="仿宋_GB2312"/>
                <w:sz w:val="24"/>
                <w:szCs w:val="24"/>
              </w:rPr>
              <w:t>行业自律最低</w:t>
            </w:r>
            <w:r>
              <w:rPr>
                <w:rFonts w:hint="eastAsia" w:ascii="仿宋_GB2312" w:hAnsi="仿宋_GB2312" w:eastAsia="仿宋_GB2312" w:cs="仿宋_GB2312"/>
                <w:sz w:val="24"/>
                <w:szCs w:val="24"/>
                <w:lang w:val="en-US" w:eastAsia="zh-CN"/>
              </w:rPr>
              <w:t>的</w:t>
            </w:r>
            <w:r>
              <w:rPr>
                <w:rFonts w:hint="eastAsia" w:ascii="仿宋_GB2312" w:hAnsi="仿宋_GB2312" w:eastAsia="仿宋_GB2312" w:cs="仿宋_GB2312"/>
                <w:sz w:val="24"/>
                <w:szCs w:val="24"/>
              </w:rPr>
              <w:t>自主定价系数</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合同期内</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监管</w:t>
            </w:r>
            <w:r>
              <w:rPr>
                <w:rFonts w:hint="eastAsia" w:ascii="仿宋_GB2312" w:hAnsi="仿宋_GB2312" w:eastAsia="仿宋_GB2312" w:cs="仿宋_GB2312"/>
                <w:sz w:val="24"/>
                <w:szCs w:val="24"/>
                <w:lang w:val="en-US" w:eastAsia="zh-CN"/>
              </w:rPr>
              <w:t>机构</w:t>
            </w:r>
            <w:r>
              <w:rPr>
                <w:rFonts w:hint="eastAsia" w:ascii="仿宋_GB2312" w:hAnsi="仿宋_GB2312" w:eastAsia="仿宋_GB2312" w:cs="仿宋_GB2312"/>
                <w:sz w:val="24"/>
                <w:szCs w:val="24"/>
              </w:rPr>
              <w:t>或行业自律对新能源汽车自主定价系数进行调整的</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则</w:t>
            </w:r>
            <w:r>
              <w:rPr>
                <w:rFonts w:hint="eastAsia" w:ascii="仿宋_GB2312" w:hAnsi="仿宋_GB2312" w:eastAsia="仿宋_GB2312" w:cs="仿宋_GB2312"/>
                <w:sz w:val="24"/>
                <w:szCs w:val="24"/>
              </w:rPr>
              <w:t>按照调整后的标准执行</w:t>
            </w:r>
            <w:r>
              <w:rPr>
                <w:rFonts w:hint="eastAsia" w:ascii="仿宋_GB2312" w:hAnsi="仿宋_GB2312" w:eastAsia="仿宋_GB2312" w:cs="仿宋_GB2312"/>
                <w:sz w:val="24"/>
                <w:szCs w:val="24"/>
                <w:lang w:eastAsia="zh-CN"/>
              </w:rPr>
              <w:t>。</w:t>
            </w:r>
          </w:p>
        </w:tc>
      </w:tr>
      <w:tr w14:paraId="03ADC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2104" w:type="dxa"/>
            <w:vAlign w:val="center"/>
          </w:tcPr>
          <w:p w14:paraId="71303AD9">
            <w:pPr>
              <w:widowControl w:val="0"/>
              <w:autoSpaceDE w:val="0"/>
              <w:autoSpaceDN w:val="0"/>
              <w:adjustRightInd w:val="0"/>
              <w:snapToGrid w:val="0"/>
              <w:ind w:firstLine="0" w:firstLine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新能源货车</w:t>
            </w:r>
          </w:p>
        </w:tc>
        <w:tc>
          <w:tcPr>
            <w:tcW w:w="2190" w:type="dxa"/>
            <w:vAlign w:val="center"/>
          </w:tcPr>
          <w:p w14:paraId="3A0F25B2">
            <w:pPr>
              <w:widowControl w:val="0"/>
              <w:autoSpaceDE w:val="0"/>
              <w:autoSpaceDN w:val="0"/>
              <w:adjustRightInd w:val="0"/>
              <w:snapToGrid w:val="0"/>
              <w:ind w:firstLine="0" w:firstLineChars="0"/>
              <w:jc w:val="center"/>
              <w:rPr>
                <w:rFonts w:hint="eastAsia" w:ascii="仿宋_GB2312" w:hAnsi="仿宋_GB2312" w:eastAsia="仿宋_GB2312" w:cs="仿宋_GB2312"/>
                <w:sz w:val="24"/>
                <w:szCs w:val="24"/>
              </w:rPr>
            </w:pPr>
          </w:p>
        </w:tc>
        <w:tc>
          <w:tcPr>
            <w:tcW w:w="4030" w:type="dxa"/>
            <w:vMerge w:val="continue"/>
            <w:vAlign w:val="center"/>
          </w:tcPr>
          <w:p w14:paraId="24C86AAA">
            <w:pPr>
              <w:widowControl w:val="0"/>
              <w:autoSpaceDE w:val="0"/>
              <w:autoSpaceDN w:val="0"/>
              <w:adjustRightInd w:val="0"/>
              <w:snapToGrid w:val="0"/>
              <w:ind w:firstLine="0" w:firstLineChars="0"/>
              <w:jc w:val="center"/>
              <w:rPr>
                <w:rFonts w:hint="eastAsia" w:ascii="仿宋_GB2312" w:hAnsi="仿宋_GB2312" w:eastAsia="仿宋_GB2312" w:cs="仿宋_GB2312"/>
                <w:sz w:val="24"/>
                <w:szCs w:val="24"/>
              </w:rPr>
            </w:pPr>
          </w:p>
        </w:tc>
      </w:tr>
    </w:tbl>
    <w:p w14:paraId="22F22CB2">
      <w:pPr>
        <w:numPr>
          <w:ilvl w:val="0"/>
          <w:numId w:val="0"/>
        </w:num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1.本项目年度控制价约为人民币23万元（仅供参考，具体金额以最终实际投保车辆数及保险方案为准）；</w:t>
      </w:r>
    </w:p>
    <w:p w14:paraId="3F9282EF">
      <w:pP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2.交强险和车船税实行国家统一交通强制保险条款和标准费率，全国执行统一价格，投标人无须对该部分进行报价，但费用包含在项目控制价中；</w:t>
      </w:r>
    </w:p>
    <w:p w14:paraId="7323CD5C">
      <w:pPr>
        <w:rPr>
          <w:rFonts w:hint="eastAsia" w:ascii="仿宋_GB2312" w:hAnsi="仿宋_GB2312" w:eastAsia="仿宋_GB2312" w:cs="仿宋_GB2312"/>
          <w:b/>
          <w:bCs/>
          <w:color w:val="FF0000"/>
          <w:sz w:val="24"/>
          <w:szCs w:val="24"/>
          <w:lang w:val="en-US" w:eastAsia="zh-CN"/>
        </w:rPr>
      </w:pPr>
      <w:r>
        <w:rPr>
          <w:rFonts w:hint="eastAsia" w:ascii="仿宋_GB2312" w:hAnsi="仿宋_GB2312" w:eastAsia="仿宋_GB2312" w:cs="仿宋_GB2312"/>
          <w:b/>
          <w:bCs/>
          <w:color w:val="FF0000"/>
          <w:sz w:val="24"/>
          <w:szCs w:val="24"/>
          <w:lang w:val="en-US" w:eastAsia="zh-CN"/>
        </w:rPr>
        <w:t>3.商业险保费＝基准纯风险保费/（1－附加费用率）×无赔款优待系数×交通违法系数×自主定价系数。</w:t>
      </w:r>
    </w:p>
    <w:p w14:paraId="71EBF5F5">
      <w:pP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（1）基准纯风险保费参照由中国精算师协会统一制定、颁布并定期更新的《机动车商业保险示范产品基准纯风险保费表（2020版）》执行，投标人无须对该系数进行报价；</w:t>
      </w:r>
    </w:p>
    <w:p w14:paraId="41A70FF8">
      <w:pP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（2）附加费用率为行业统一，投标人无须对该系数进行报价；</w:t>
      </w:r>
    </w:p>
    <w:p w14:paraId="04FD5A4B">
      <w:pP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（3）无赔款优待系数参照中国保险行业协会拟定的《机动车商业保险无赔款优待优化方案（2020版）》（中保协发〔2020〕51号）执行，投标人无须对该系数进行报价；</w:t>
      </w:r>
    </w:p>
    <w:p w14:paraId="6B2D6F1B">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（4）交通违法系数费率调整方案参照中国保险行业协会拟订的费率基准（费率基准编号为F2015103）执行，投标人无须对该系数进行报价；</w:t>
      </w:r>
    </w:p>
    <w:p w14:paraId="053628FC">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b/>
          <w:bCs/>
          <w:color w:val="FF0000"/>
          <w:sz w:val="24"/>
          <w:szCs w:val="24"/>
          <w:lang w:val="en-US" w:eastAsia="zh-CN"/>
        </w:rPr>
        <w:t>本项目报价主要针对自主定价系数</w:t>
      </w:r>
      <w:r>
        <w:rPr>
          <w:rFonts w:hint="eastAsia" w:ascii="仿宋_GB2312" w:hAnsi="仿宋_GB2312" w:eastAsia="仿宋_GB2312" w:cs="仿宋_GB2312"/>
          <w:sz w:val="24"/>
          <w:szCs w:val="24"/>
          <w:lang w:val="en-US" w:eastAsia="zh-CN"/>
        </w:rPr>
        <w:t>。根据中国银行保险监督管理委员会（现更名：国家金融监督管理总局）印发的《中国银保监会关于印发实施车险综合改革指导意见的通知》（银保监发〔2020〕41号）及《中国银保监会关于进一步扩大商业车险自主定价系数浮动范围等有关事项的通知》（银保监规〔2022〕23号），自主定价系数调整范围为[0.5,1.5]。投标人报价必须符合中国银行保险监督管理委员会深圳监管局（现更名：国家金融监督管理总局深圳监管局）要求，如有违反自行承担相应责任。</w:t>
      </w:r>
    </w:p>
    <w:p w14:paraId="771FA716">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★（6）针对新能源汽车（非营运客车/非营运货车），投标人须为行业自律最低自主定价系数，合同期内，监管或行业自律对新能源汽车自主定价系数进行调整的，按照调整后的标准予以执行。</w:t>
      </w:r>
    </w:p>
    <w:p w14:paraId="747EAA50">
      <w:pPr>
        <w:keepNext/>
        <w:keepLines/>
        <w:pageBreakBefore w:val="0"/>
        <w:widowControl w:val="0"/>
        <w:numPr>
          <w:ilvl w:val="0"/>
          <w:numId w:val="0"/>
        </w:numPr>
        <w:kinsoku/>
        <w:wordWrap/>
        <w:overflowPunct/>
        <w:topLinePunct w:val="0"/>
        <w:autoSpaceDE/>
        <w:autoSpaceDN/>
        <w:bidi w:val="0"/>
        <w:adjustRightInd/>
        <w:snapToGrid/>
        <w:spacing w:before="0" w:after="0"/>
        <w:textAlignment w:val="auto"/>
        <w:outlineLvl w:val="9"/>
        <w:rPr>
          <w:rFonts w:hint="eastAsia" w:ascii="仿宋_GB2312" w:hAnsi="仿宋_GB2312" w:eastAsia="仿宋_GB2312" w:cs="仿宋_GB2312"/>
          <w:b/>
          <w:bCs/>
          <w:sz w:val="24"/>
          <w:szCs w:val="32"/>
          <w:lang w:val="en-US" w:eastAsia="zh-CN"/>
        </w:rPr>
      </w:pPr>
      <w:r>
        <w:rPr>
          <w:rFonts w:hint="eastAsia" w:ascii="仿宋_GB2312" w:hAnsi="仿宋_GB2312" w:eastAsia="仿宋_GB2312" w:cs="仿宋_GB2312"/>
          <w:b/>
          <w:bCs/>
          <w:kern w:val="2"/>
          <w:sz w:val="24"/>
          <w:szCs w:val="32"/>
          <w:lang w:val="en-US" w:eastAsia="zh-CN" w:bidi="ar-SA"/>
        </w:rPr>
        <w:t>二、保险方案</w:t>
      </w:r>
    </w:p>
    <w:tbl>
      <w:tblPr>
        <w:tblStyle w:val="7"/>
        <w:tblW w:w="8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961"/>
        <w:gridCol w:w="2549"/>
        <w:gridCol w:w="2102"/>
        <w:gridCol w:w="2102"/>
      </w:tblGrid>
      <w:tr w14:paraId="565EC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dxa"/>
            <w:vAlign w:val="center"/>
          </w:tcPr>
          <w:p w14:paraId="50A803D3">
            <w:pPr>
              <w:keepNext/>
              <w:keepLines/>
              <w:pageBreakBefore w:val="0"/>
              <w:widowControl w:val="0"/>
              <w:numPr>
                <w:ilvl w:val="0"/>
                <w:numId w:val="0"/>
              </w:numPr>
              <w:kinsoku/>
              <w:wordWrap/>
              <w:overflowPunct/>
              <w:topLinePunct w:val="0"/>
              <w:autoSpaceDE/>
              <w:autoSpaceDN/>
              <w:bidi w:val="0"/>
              <w:adjustRightInd/>
              <w:snapToGrid/>
              <w:spacing w:before="0" w:after="0"/>
              <w:jc w:val="center"/>
              <w:textAlignment w:val="auto"/>
              <w:outlineLvl w:val="9"/>
              <w:rPr>
                <w:rFonts w:hint="default" w:ascii="仿宋_GB2312" w:hAnsi="仿宋_GB2312" w:eastAsia="仿宋_GB2312" w:cs="仿宋_GB2312"/>
                <w:b/>
                <w:bCs/>
                <w:kern w:val="2"/>
                <w:sz w:val="24"/>
                <w:szCs w:val="24"/>
                <w:vertAlign w:val="baseline"/>
                <w:lang w:val="en-US" w:eastAsia="zh-CN" w:bidi="ar-SA"/>
              </w:rPr>
            </w:pPr>
            <w:r>
              <w:rPr>
                <w:rFonts w:hint="eastAsia" w:ascii="仿宋_GB2312" w:hAnsi="仿宋_GB2312" w:eastAsia="仿宋_GB2312" w:cs="仿宋_GB2312"/>
                <w:b/>
                <w:bCs/>
                <w:kern w:val="2"/>
                <w:sz w:val="24"/>
                <w:szCs w:val="24"/>
                <w:vertAlign w:val="baseline"/>
                <w:lang w:val="en-US" w:eastAsia="zh-CN" w:bidi="ar-SA"/>
              </w:rPr>
              <w:t>序号</w:t>
            </w:r>
          </w:p>
        </w:tc>
        <w:tc>
          <w:tcPr>
            <w:tcW w:w="3510" w:type="dxa"/>
            <w:gridSpan w:val="2"/>
            <w:vAlign w:val="center"/>
          </w:tcPr>
          <w:p w14:paraId="30EEE47B">
            <w:pPr>
              <w:keepNext/>
              <w:keepLines/>
              <w:pageBreakBefore w:val="0"/>
              <w:widowControl w:val="0"/>
              <w:numPr>
                <w:ilvl w:val="0"/>
                <w:numId w:val="0"/>
              </w:numPr>
              <w:kinsoku/>
              <w:wordWrap/>
              <w:overflowPunct/>
              <w:topLinePunct w:val="0"/>
              <w:autoSpaceDE/>
              <w:autoSpaceDN/>
              <w:bidi w:val="0"/>
              <w:adjustRightInd/>
              <w:snapToGrid/>
              <w:spacing w:before="0" w:after="0"/>
              <w:jc w:val="center"/>
              <w:textAlignment w:val="auto"/>
              <w:outlineLvl w:val="9"/>
              <w:rPr>
                <w:rFonts w:hint="eastAsia" w:ascii="仿宋_GB2312" w:hAnsi="仿宋_GB2312" w:eastAsia="仿宋_GB2312" w:cs="仿宋_GB2312"/>
                <w:b/>
                <w:bCs/>
                <w:kern w:val="2"/>
                <w:sz w:val="24"/>
                <w:szCs w:val="24"/>
                <w:vertAlign w:val="baseline"/>
                <w:lang w:val="en-US" w:eastAsia="zh-CN" w:bidi="ar-SA"/>
              </w:rPr>
            </w:pPr>
            <w:r>
              <w:rPr>
                <w:rFonts w:hint="eastAsia" w:ascii="仿宋_GB2312" w:hAnsi="仿宋_GB2312" w:eastAsia="仿宋_GB2312" w:cs="仿宋_GB2312"/>
                <w:b/>
                <w:bCs/>
                <w:kern w:val="2"/>
                <w:sz w:val="24"/>
                <w:szCs w:val="24"/>
                <w:vertAlign w:val="baseline"/>
                <w:lang w:val="en-US" w:eastAsia="zh-CN" w:bidi="ar-SA"/>
              </w:rPr>
              <w:t>险种</w:t>
            </w:r>
          </w:p>
        </w:tc>
        <w:tc>
          <w:tcPr>
            <w:tcW w:w="2102" w:type="dxa"/>
            <w:vAlign w:val="center"/>
          </w:tcPr>
          <w:p w14:paraId="739473A2">
            <w:pPr>
              <w:keepNext/>
              <w:keepLines/>
              <w:pageBreakBefore w:val="0"/>
              <w:widowControl w:val="0"/>
              <w:numPr>
                <w:ilvl w:val="0"/>
                <w:numId w:val="0"/>
              </w:numPr>
              <w:kinsoku/>
              <w:wordWrap/>
              <w:overflowPunct/>
              <w:topLinePunct w:val="0"/>
              <w:autoSpaceDE/>
              <w:autoSpaceDN/>
              <w:bidi w:val="0"/>
              <w:adjustRightInd/>
              <w:snapToGrid/>
              <w:spacing w:before="0" w:after="0"/>
              <w:jc w:val="center"/>
              <w:textAlignment w:val="auto"/>
              <w:outlineLvl w:val="9"/>
              <w:rPr>
                <w:rFonts w:hint="default" w:ascii="仿宋_GB2312" w:hAnsi="仿宋_GB2312" w:eastAsia="仿宋_GB2312" w:cs="仿宋_GB2312"/>
                <w:b/>
                <w:bCs/>
                <w:kern w:val="2"/>
                <w:sz w:val="24"/>
                <w:szCs w:val="24"/>
                <w:vertAlign w:val="baseline"/>
                <w:lang w:val="en-US" w:eastAsia="zh-CN" w:bidi="ar-SA"/>
              </w:rPr>
            </w:pPr>
            <w:r>
              <w:rPr>
                <w:rFonts w:hint="eastAsia" w:ascii="仿宋_GB2312" w:hAnsi="仿宋_GB2312" w:eastAsia="仿宋_GB2312" w:cs="仿宋_GB2312"/>
                <w:b/>
                <w:bCs/>
                <w:kern w:val="2"/>
                <w:sz w:val="24"/>
                <w:szCs w:val="24"/>
                <w:vertAlign w:val="baseline"/>
                <w:lang w:val="en-US" w:eastAsia="zh-CN" w:bidi="ar-SA"/>
              </w:rPr>
              <w:t>额度</w:t>
            </w:r>
          </w:p>
        </w:tc>
        <w:tc>
          <w:tcPr>
            <w:tcW w:w="2102" w:type="dxa"/>
            <w:vAlign w:val="center"/>
          </w:tcPr>
          <w:p w14:paraId="27ABB6D8">
            <w:pPr>
              <w:keepNext/>
              <w:keepLines/>
              <w:pageBreakBefore w:val="0"/>
              <w:widowControl w:val="0"/>
              <w:numPr>
                <w:ilvl w:val="0"/>
                <w:numId w:val="0"/>
              </w:numPr>
              <w:kinsoku/>
              <w:wordWrap/>
              <w:overflowPunct/>
              <w:topLinePunct w:val="0"/>
              <w:autoSpaceDE/>
              <w:autoSpaceDN/>
              <w:bidi w:val="0"/>
              <w:adjustRightInd/>
              <w:snapToGrid/>
              <w:spacing w:before="0" w:after="0"/>
              <w:jc w:val="center"/>
              <w:textAlignment w:val="auto"/>
              <w:outlineLvl w:val="9"/>
              <w:rPr>
                <w:rFonts w:hint="eastAsia" w:ascii="仿宋_GB2312" w:hAnsi="仿宋_GB2312" w:eastAsia="仿宋_GB2312" w:cs="仿宋_GB2312"/>
                <w:b/>
                <w:bCs/>
                <w:kern w:val="2"/>
                <w:sz w:val="24"/>
                <w:szCs w:val="24"/>
                <w:vertAlign w:val="baseline"/>
                <w:lang w:val="en-US" w:eastAsia="zh-CN" w:bidi="ar-SA"/>
              </w:rPr>
            </w:pPr>
          </w:p>
        </w:tc>
      </w:tr>
      <w:tr w14:paraId="7380B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dxa"/>
            <w:vAlign w:val="center"/>
          </w:tcPr>
          <w:p w14:paraId="40A5551F">
            <w:pPr>
              <w:keepNext/>
              <w:keepLines/>
              <w:pageBreakBefore w:val="0"/>
              <w:widowControl w:val="0"/>
              <w:numPr>
                <w:ilvl w:val="0"/>
                <w:numId w:val="0"/>
              </w:numPr>
              <w:kinsoku/>
              <w:wordWrap/>
              <w:overflowPunct/>
              <w:topLinePunct w:val="0"/>
              <w:autoSpaceDE/>
              <w:autoSpaceDN/>
              <w:bidi w:val="0"/>
              <w:adjustRightInd/>
              <w:snapToGrid/>
              <w:spacing w:before="0" w:after="0"/>
              <w:jc w:val="center"/>
              <w:textAlignment w:val="auto"/>
              <w:outlineLvl w:val="9"/>
              <w:rPr>
                <w:rFonts w:hint="default"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1</w:t>
            </w:r>
          </w:p>
        </w:tc>
        <w:tc>
          <w:tcPr>
            <w:tcW w:w="3510" w:type="dxa"/>
            <w:gridSpan w:val="2"/>
            <w:vAlign w:val="center"/>
          </w:tcPr>
          <w:p w14:paraId="68A0B9EA">
            <w:pPr>
              <w:keepNext/>
              <w:keepLines/>
              <w:pageBreakBefore w:val="0"/>
              <w:widowControl w:val="0"/>
              <w:numPr>
                <w:ilvl w:val="0"/>
                <w:numId w:val="0"/>
              </w:numPr>
              <w:kinsoku/>
              <w:wordWrap/>
              <w:overflowPunct/>
              <w:topLinePunct w:val="0"/>
              <w:autoSpaceDE/>
              <w:autoSpaceDN/>
              <w:bidi w:val="0"/>
              <w:adjustRightInd/>
              <w:snapToGrid/>
              <w:spacing w:before="0" w:after="0"/>
              <w:jc w:val="center"/>
              <w:textAlignment w:val="auto"/>
              <w:outlineLvl w:val="9"/>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交强险</w:t>
            </w:r>
          </w:p>
        </w:tc>
        <w:tc>
          <w:tcPr>
            <w:tcW w:w="2102" w:type="dxa"/>
            <w:vAlign w:val="center"/>
          </w:tcPr>
          <w:p w14:paraId="69641403">
            <w:pPr>
              <w:keepNext/>
              <w:keepLines/>
              <w:pageBreakBefore w:val="0"/>
              <w:widowControl w:val="0"/>
              <w:numPr>
                <w:ilvl w:val="0"/>
                <w:numId w:val="0"/>
              </w:numPr>
              <w:kinsoku/>
              <w:wordWrap/>
              <w:overflowPunct/>
              <w:topLinePunct w:val="0"/>
              <w:autoSpaceDE/>
              <w:autoSpaceDN/>
              <w:bidi w:val="0"/>
              <w:adjustRightInd/>
              <w:snapToGrid/>
              <w:spacing w:before="0" w:after="0"/>
              <w:jc w:val="center"/>
              <w:textAlignment w:val="auto"/>
              <w:outlineLvl w:val="9"/>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按国家规定执行</w:t>
            </w:r>
          </w:p>
        </w:tc>
        <w:tc>
          <w:tcPr>
            <w:tcW w:w="2102" w:type="dxa"/>
            <w:vAlign w:val="center"/>
          </w:tcPr>
          <w:p w14:paraId="26571DBD">
            <w:pPr>
              <w:keepNext/>
              <w:keepLines/>
              <w:pageBreakBefore w:val="0"/>
              <w:widowControl w:val="0"/>
              <w:numPr>
                <w:ilvl w:val="0"/>
                <w:numId w:val="0"/>
              </w:numPr>
              <w:kinsoku/>
              <w:wordWrap/>
              <w:overflowPunct/>
              <w:topLinePunct w:val="0"/>
              <w:autoSpaceDE/>
              <w:autoSpaceDN/>
              <w:bidi w:val="0"/>
              <w:adjustRightInd/>
              <w:snapToGrid/>
              <w:spacing w:before="0" w:after="0"/>
              <w:jc w:val="center"/>
              <w:textAlignment w:val="auto"/>
              <w:outlineLvl w:val="9"/>
              <w:rPr>
                <w:rFonts w:hint="eastAsia" w:ascii="仿宋_GB2312" w:hAnsi="仿宋_GB2312" w:eastAsia="仿宋_GB2312" w:cs="仿宋_GB2312"/>
                <w:b w:val="0"/>
                <w:bCs w:val="0"/>
                <w:kern w:val="2"/>
                <w:sz w:val="24"/>
                <w:szCs w:val="24"/>
                <w:vertAlign w:val="baseline"/>
                <w:lang w:val="en-US" w:eastAsia="zh-CN" w:bidi="ar-SA"/>
              </w:rPr>
            </w:pPr>
          </w:p>
        </w:tc>
      </w:tr>
      <w:tr w14:paraId="684F5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dxa"/>
            <w:vAlign w:val="center"/>
          </w:tcPr>
          <w:p w14:paraId="2D0FE32E">
            <w:pPr>
              <w:keepNext/>
              <w:keepLines/>
              <w:pageBreakBefore w:val="0"/>
              <w:widowControl w:val="0"/>
              <w:numPr>
                <w:ilvl w:val="0"/>
                <w:numId w:val="0"/>
              </w:numPr>
              <w:kinsoku/>
              <w:wordWrap/>
              <w:overflowPunct/>
              <w:topLinePunct w:val="0"/>
              <w:autoSpaceDE/>
              <w:autoSpaceDN/>
              <w:bidi w:val="0"/>
              <w:adjustRightInd/>
              <w:snapToGrid/>
              <w:spacing w:before="0" w:after="0"/>
              <w:jc w:val="center"/>
              <w:textAlignment w:val="auto"/>
              <w:outlineLvl w:val="9"/>
              <w:rPr>
                <w:rFonts w:hint="default"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2</w:t>
            </w:r>
          </w:p>
        </w:tc>
        <w:tc>
          <w:tcPr>
            <w:tcW w:w="3510" w:type="dxa"/>
            <w:gridSpan w:val="2"/>
            <w:vAlign w:val="center"/>
          </w:tcPr>
          <w:p w14:paraId="7A38B4E6">
            <w:pPr>
              <w:keepNext/>
              <w:keepLines/>
              <w:pageBreakBefore w:val="0"/>
              <w:widowControl w:val="0"/>
              <w:numPr>
                <w:ilvl w:val="0"/>
                <w:numId w:val="0"/>
              </w:numPr>
              <w:kinsoku/>
              <w:wordWrap/>
              <w:overflowPunct/>
              <w:topLinePunct w:val="0"/>
              <w:autoSpaceDE/>
              <w:autoSpaceDN/>
              <w:bidi w:val="0"/>
              <w:adjustRightInd/>
              <w:snapToGrid/>
              <w:spacing w:before="0" w:after="0"/>
              <w:jc w:val="center"/>
              <w:textAlignment w:val="auto"/>
              <w:outlineLvl w:val="9"/>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车船税</w:t>
            </w:r>
          </w:p>
        </w:tc>
        <w:tc>
          <w:tcPr>
            <w:tcW w:w="2102" w:type="dxa"/>
            <w:vAlign w:val="center"/>
          </w:tcPr>
          <w:p w14:paraId="26EEB4D6">
            <w:pPr>
              <w:keepNext/>
              <w:keepLines/>
              <w:pageBreakBefore w:val="0"/>
              <w:widowControl w:val="0"/>
              <w:numPr>
                <w:ilvl w:val="0"/>
                <w:numId w:val="0"/>
              </w:numPr>
              <w:kinsoku/>
              <w:wordWrap/>
              <w:overflowPunct/>
              <w:topLinePunct w:val="0"/>
              <w:autoSpaceDE/>
              <w:autoSpaceDN/>
              <w:bidi w:val="0"/>
              <w:adjustRightInd/>
              <w:snapToGrid/>
              <w:spacing w:before="0" w:after="0"/>
              <w:jc w:val="center"/>
              <w:textAlignment w:val="auto"/>
              <w:outlineLvl w:val="9"/>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按国家规定执行</w:t>
            </w:r>
          </w:p>
        </w:tc>
        <w:tc>
          <w:tcPr>
            <w:tcW w:w="2102" w:type="dxa"/>
            <w:vAlign w:val="center"/>
          </w:tcPr>
          <w:p w14:paraId="2CAC46F8">
            <w:pPr>
              <w:keepNext/>
              <w:keepLines/>
              <w:pageBreakBefore w:val="0"/>
              <w:widowControl w:val="0"/>
              <w:numPr>
                <w:ilvl w:val="0"/>
                <w:numId w:val="0"/>
              </w:numPr>
              <w:kinsoku/>
              <w:wordWrap/>
              <w:overflowPunct/>
              <w:topLinePunct w:val="0"/>
              <w:autoSpaceDE/>
              <w:autoSpaceDN/>
              <w:bidi w:val="0"/>
              <w:adjustRightInd/>
              <w:snapToGrid/>
              <w:spacing w:before="0" w:after="0"/>
              <w:jc w:val="center"/>
              <w:textAlignment w:val="auto"/>
              <w:outlineLvl w:val="9"/>
              <w:rPr>
                <w:rFonts w:hint="eastAsia" w:ascii="仿宋_GB2312" w:hAnsi="仿宋_GB2312" w:eastAsia="仿宋_GB2312" w:cs="仿宋_GB2312"/>
                <w:b w:val="0"/>
                <w:bCs w:val="0"/>
                <w:kern w:val="2"/>
                <w:sz w:val="24"/>
                <w:szCs w:val="24"/>
                <w:vertAlign w:val="baseline"/>
                <w:lang w:val="en-US" w:eastAsia="zh-CN" w:bidi="ar-SA"/>
              </w:rPr>
            </w:pPr>
          </w:p>
        </w:tc>
      </w:tr>
      <w:tr w14:paraId="70197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dxa"/>
            <w:vMerge w:val="restart"/>
            <w:vAlign w:val="center"/>
          </w:tcPr>
          <w:p w14:paraId="1C40642C">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val="0"/>
                <w:bCs w:val="0"/>
                <w:kern w:val="2"/>
                <w:sz w:val="24"/>
                <w:szCs w:val="24"/>
                <w:vertAlign w:val="baseline"/>
                <w:lang w:val="en-US" w:eastAsia="zh-CN" w:bidi="ar-SA"/>
              </w:rPr>
              <w:t>3</w:t>
            </w:r>
          </w:p>
        </w:tc>
        <w:tc>
          <w:tcPr>
            <w:tcW w:w="961" w:type="dxa"/>
            <w:vMerge w:val="restart"/>
            <w:vAlign w:val="center"/>
          </w:tcPr>
          <w:p w14:paraId="7E0FFCF8">
            <w:pPr>
              <w:keepNext/>
              <w:keepLines/>
              <w:pageBreakBefore w:val="0"/>
              <w:widowControl w:val="0"/>
              <w:numPr>
                <w:ilvl w:val="0"/>
                <w:numId w:val="0"/>
              </w:numPr>
              <w:kinsoku/>
              <w:wordWrap/>
              <w:overflowPunct/>
              <w:topLinePunct w:val="0"/>
              <w:autoSpaceDE/>
              <w:autoSpaceDN/>
              <w:bidi w:val="0"/>
              <w:adjustRightInd/>
              <w:snapToGrid/>
              <w:spacing w:before="0" w:after="0"/>
              <w:jc w:val="center"/>
              <w:textAlignment w:val="auto"/>
              <w:outlineLvl w:val="9"/>
              <w:rPr>
                <w:rFonts w:hint="default"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商业险</w:t>
            </w:r>
          </w:p>
        </w:tc>
        <w:tc>
          <w:tcPr>
            <w:tcW w:w="2549" w:type="dxa"/>
            <w:vAlign w:val="center"/>
          </w:tcPr>
          <w:p w14:paraId="1381287F">
            <w:pPr>
              <w:keepNext/>
              <w:keepLines/>
              <w:pageBreakBefore w:val="0"/>
              <w:widowControl w:val="0"/>
              <w:numPr>
                <w:ilvl w:val="0"/>
                <w:numId w:val="0"/>
              </w:numPr>
              <w:kinsoku/>
              <w:wordWrap/>
              <w:overflowPunct/>
              <w:topLinePunct w:val="0"/>
              <w:autoSpaceDE/>
              <w:autoSpaceDN/>
              <w:bidi w:val="0"/>
              <w:adjustRightInd/>
              <w:snapToGrid/>
              <w:spacing w:before="0" w:after="0"/>
              <w:jc w:val="center"/>
              <w:textAlignment w:val="auto"/>
              <w:outlineLvl w:val="9"/>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sz w:val="24"/>
                <w:szCs w:val="24"/>
              </w:rPr>
              <w:t>机动车损失保险 绝对免赔额0元</w:t>
            </w:r>
          </w:p>
        </w:tc>
        <w:tc>
          <w:tcPr>
            <w:tcW w:w="2102" w:type="dxa"/>
            <w:vAlign w:val="center"/>
          </w:tcPr>
          <w:p w14:paraId="2975FD2C">
            <w:pPr>
              <w:keepNext/>
              <w:keepLines/>
              <w:pageBreakBefore w:val="0"/>
              <w:widowControl w:val="0"/>
              <w:numPr>
                <w:ilvl w:val="0"/>
                <w:numId w:val="0"/>
              </w:numPr>
              <w:kinsoku/>
              <w:wordWrap/>
              <w:overflowPunct/>
              <w:topLinePunct w:val="0"/>
              <w:autoSpaceDE/>
              <w:autoSpaceDN/>
              <w:bidi w:val="0"/>
              <w:adjustRightInd/>
              <w:snapToGrid/>
              <w:spacing w:before="0" w:after="0"/>
              <w:jc w:val="center"/>
              <w:textAlignment w:val="auto"/>
              <w:outlineLvl w:val="9"/>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按国家规定执行</w:t>
            </w:r>
          </w:p>
        </w:tc>
        <w:tc>
          <w:tcPr>
            <w:tcW w:w="2102" w:type="dxa"/>
            <w:vAlign w:val="center"/>
          </w:tcPr>
          <w:p w14:paraId="30A1B3D3">
            <w:pPr>
              <w:keepNext/>
              <w:keepLines/>
              <w:pageBreakBefore w:val="0"/>
              <w:widowControl w:val="0"/>
              <w:numPr>
                <w:ilvl w:val="0"/>
                <w:numId w:val="0"/>
              </w:numPr>
              <w:kinsoku/>
              <w:wordWrap/>
              <w:overflowPunct/>
              <w:topLinePunct w:val="0"/>
              <w:autoSpaceDE/>
              <w:autoSpaceDN/>
              <w:bidi w:val="0"/>
              <w:adjustRightInd/>
              <w:snapToGrid/>
              <w:spacing w:before="0" w:after="0"/>
              <w:jc w:val="center"/>
              <w:textAlignment w:val="auto"/>
              <w:outlineLvl w:val="9"/>
              <w:rPr>
                <w:rFonts w:hint="eastAsia" w:ascii="仿宋_GB2312" w:hAnsi="仿宋_GB2312" w:eastAsia="仿宋_GB2312" w:cs="仿宋_GB2312"/>
                <w:b w:val="0"/>
                <w:bCs w:val="0"/>
                <w:kern w:val="2"/>
                <w:sz w:val="24"/>
                <w:szCs w:val="24"/>
                <w:vertAlign w:val="baseline"/>
                <w:lang w:val="en-US" w:eastAsia="zh-CN" w:bidi="ar-SA"/>
              </w:rPr>
            </w:pPr>
          </w:p>
        </w:tc>
      </w:tr>
      <w:tr w14:paraId="52768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dxa"/>
            <w:vMerge w:val="continue"/>
            <w:vAlign w:val="center"/>
          </w:tcPr>
          <w:p w14:paraId="0C4FF1C5">
            <w:pPr>
              <w:keepNext/>
              <w:keepLines/>
              <w:pageBreakBefore w:val="0"/>
              <w:widowControl w:val="0"/>
              <w:numPr>
                <w:ilvl w:val="0"/>
                <w:numId w:val="0"/>
              </w:numPr>
              <w:kinsoku/>
              <w:wordWrap/>
              <w:overflowPunct/>
              <w:topLinePunct w:val="0"/>
              <w:autoSpaceDE/>
              <w:autoSpaceDN/>
              <w:bidi w:val="0"/>
              <w:adjustRightInd/>
              <w:snapToGrid/>
              <w:spacing w:before="0" w:after="0"/>
              <w:jc w:val="center"/>
              <w:textAlignment w:val="auto"/>
              <w:outlineLvl w:val="9"/>
              <w:rPr>
                <w:rFonts w:hint="eastAsia" w:ascii="仿宋_GB2312" w:hAnsi="仿宋_GB2312" w:eastAsia="仿宋_GB2312" w:cs="仿宋_GB2312"/>
                <w:b w:val="0"/>
                <w:bCs w:val="0"/>
                <w:kern w:val="2"/>
                <w:sz w:val="24"/>
                <w:szCs w:val="24"/>
                <w:vertAlign w:val="baseline"/>
                <w:lang w:val="en-US" w:eastAsia="zh-CN" w:bidi="ar-SA"/>
              </w:rPr>
            </w:pPr>
          </w:p>
        </w:tc>
        <w:tc>
          <w:tcPr>
            <w:tcW w:w="961" w:type="dxa"/>
            <w:vMerge w:val="continue"/>
            <w:vAlign w:val="center"/>
          </w:tcPr>
          <w:p w14:paraId="20DD4D39">
            <w:pPr>
              <w:keepNext/>
              <w:keepLines/>
              <w:pageBreakBefore w:val="0"/>
              <w:widowControl w:val="0"/>
              <w:numPr>
                <w:ilvl w:val="0"/>
                <w:numId w:val="0"/>
              </w:numPr>
              <w:kinsoku/>
              <w:wordWrap/>
              <w:overflowPunct/>
              <w:topLinePunct w:val="0"/>
              <w:autoSpaceDE/>
              <w:autoSpaceDN/>
              <w:bidi w:val="0"/>
              <w:adjustRightInd/>
              <w:snapToGrid/>
              <w:spacing w:before="0" w:after="0"/>
              <w:jc w:val="center"/>
              <w:textAlignment w:val="auto"/>
              <w:outlineLvl w:val="9"/>
              <w:rPr>
                <w:rFonts w:hint="eastAsia" w:ascii="仿宋_GB2312" w:hAnsi="仿宋_GB2312" w:eastAsia="仿宋_GB2312" w:cs="仿宋_GB2312"/>
                <w:b w:val="0"/>
                <w:bCs w:val="0"/>
                <w:kern w:val="2"/>
                <w:sz w:val="24"/>
                <w:szCs w:val="24"/>
                <w:vertAlign w:val="baseline"/>
                <w:lang w:val="en-US" w:eastAsia="zh-CN" w:bidi="ar-SA"/>
              </w:rPr>
            </w:pPr>
          </w:p>
        </w:tc>
        <w:tc>
          <w:tcPr>
            <w:tcW w:w="2549" w:type="dxa"/>
            <w:vAlign w:val="center"/>
          </w:tcPr>
          <w:p w14:paraId="4E3CC456">
            <w:pPr>
              <w:keepNext/>
              <w:keepLines/>
              <w:pageBreakBefore w:val="0"/>
              <w:widowControl w:val="0"/>
              <w:numPr>
                <w:ilvl w:val="0"/>
                <w:numId w:val="0"/>
              </w:numPr>
              <w:kinsoku/>
              <w:wordWrap/>
              <w:overflowPunct/>
              <w:topLinePunct w:val="0"/>
              <w:autoSpaceDE/>
              <w:autoSpaceDN/>
              <w:bidi w:val="0"/>
              <w:adjustRightInd/>
              <w:snapToGrid/>
              <w:spacing w:before="0" w:after="0"/>
              <w:jc w:val="center"/>
              <w:textAlignment w:val="auto"/>
              <w:outlineLvl w:val="9"/>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sz w:val="24"/>
                <w:szCs w:val="24"/>
              </w:rPr>
              <w:t>第三者责任保险</w:t>
            </w:r>
          </w:p>
        </w:tc>
        <w:tc>
          <w:tcPr>
            <w:tcW w:w="2102" w:type="dxa"/>
            <w:vAlign w:val="center"/>
          </w:tcPr>
          <w:p w14:paraId="2878F0A4">
            <w:pPr>
              <w:keepNext/>
              <w:keepLines/>
              <w:pageBreakBefore w:val="0"/>
              <w:widowControl w:val="0"/>
              <w:numPr>
                <w:ilvl w:val="0"/>
                <w:numId w:val="0"/>
              </w:numPr>
              <w:kinsoku/>
              <w:wordWrap/>
              <w:overflowPunct/>
              <w:topLinePunct w:val="0"/>
              <w:autoSpaceDE/>
              <w:autoSpaceDN/>
              <w:bidi w:val="0"/>
              <w:adjustRightInd/>
              <w:snapToGrid/>
              <w:spacing w:before="0" w:after="0"/>
              <w:jc w:val="center"/>
              <w:textAlignment w:val="auto"/>
              <w:outlineLvl w:val="9"/>
              <w:rPr>
                <w:rFonts w:hint="default"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sz w:val="24"/>
                <w:szCs w:val="24"/>
                <w:lang w:val="en-US" w:eastAsia="zh-CN"/>
              </w:rPr>
              <w:t>200万元</w:t>
            </w:r>
          </w:p>
        </w:tc>
        <w:tc>
          <w:tcPr>
            <w:tcW w:w="2102" w:type="dxa"/>
            <w:vAlign w:val="center"/>
          </w:tcPr>
          <w:p w14:paraId="68CFC52A">
            <w:pPr>
              <w:keepNext/>
              <w:keepLines/>
              <w:pageBreakBefore w:val="0"/>
              <w:widowControl w:val="0"/>
              <w:numPr>
                <w:ilvl w:val="0"/>
                <w:numId w:val="0"/>
              </w:numPr>
              <w:kinsoku/>
              <w:wordWrap/>
              <w:overflowPunct/>
              <w:topLinePunct w:val="0"/>
              <w:autoSpaceDE/>
              <w:autoSpaceDN/>
              <w:bidi w:val="0"/>
              <w:adjustRightInd/>
              <w:snapToGrid/>
              <w:spacing w:before="0" w:after="0"/>
              <w:jc w:val="center"/>
              <w:textAlignment w:val="auto"/>
              <w:outlineLvl w:val="9"/>
              <w:rPr>
                <w:rFonts w:hint="eastAsia" w:ascii="仿宋_GB2312" w:hAnsi="仿宋_GB2312" w:eastAsia="仿宋_GB2312" w:cs="仿宋_GB2312"/>
                <w:b w:val="0"/>
                <w:bCs w:val="0"/>
                <w:kern w:val="2"/>
                <w:sz w:val="24"/>
                <w:szCs w:val="24"/>
                <w:vertAlign w:val="baseline"/>
                <w:lang w:val="en-US" w:eastAsia="zh-CN" w:bidi="ar-SA"/>
              </w:rPr>
            </w:pPr>
          </w:p>
        </w:tc>
      </w:tr>
      <w:tr w14:paraId="547B8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dxa"/>
            <w:vMerge w:val="continue"/>
            <w:vAlign w:val="center"/>
          </w:tcPr>
          <w:p w14:paraId="0E103CE2">
            <w:pPr>
              <w:keepNext/>
              <w:keepLines/>
              <w:pageBreakBefore w:val="0"/>
              <w:widowControl w:val="0"/>
              <w:numPr>
                <w:ilvl w:val="0"/>
                <w:numId w:val="0"/>
              </w:numPr>
              <w:kinsoku/>
              <w:wordWrap/>
              <w:overflowPunct/>
              <w:topLinePunct w:val="0"/>
              <w:autoSpaceDE/>
              <w:autoSpaceDN/>
              <w:bidi w:val="0"/>
              <w:adjustRightInd/>
              <w:snapToGrid/>
              <w:spacing w:before="0" w:after="0"/>
              <w:jc w:val="center"/>
              <w:textAlignment w:val="auto"/>
              <w:outlineLvl w:val="9"/>
              <w:rPr>
                <w:rFonts w:hint="eastAsia" w:ascii="仿宋_GB2312" w:hAnsi="仿宋_GB2312" w:eastAsia="仿宋_GB2312" w:cs="仿宋_GB2312"/>
                <w:b w:val="0"/>
                <w:bCs w:val="0"/>
                <w:kern w:val="2"/>
                <w:sz w:val="24"/>
                <w:szCs w:val="24"/>
                <w:vertAlign w:val="baseline"/>
                <w:lang w:val="en-US" w:eastAsia="zh-CN" w:bidi="ar-SA"/>
              </w:rPr>
            </w:pPr>
          </w:p>
        </w:tc>
        <w:tc>
          <w:tcPr>
            <w:tcW w:w="961" w:type="dxa"/>
            <w:vMerge w:val="continue"/>
            <w:vAlign w:val="center"/>
          </w:tcPr>
          <w:p w14:paraId="4669085E">
            <w:pPr>
              <w:keepNext/>
              <w:keepLines/>
              <w:pageBreakBefore w:val="0"/>
              <w:widowControl w:val="0"/>
              <w:numPr>
                <w:ilvl w:val="0"/>
                <w:numId w:val="0"/>
              </w:numPr>
              <w:kinsoku/>
              <w:wordWrap/>
              <w:overflowPunct/>
              <w:topLinePunct w:val="0"/>
              <w:autoSpaceDE/>
              <w:autoSpaceDN/>
              <w:bidi w:val="0"/>
              <w:adjustRightInd/>
              <w:snapToGrid/>
              <w:spacing w:before="0" w:after="0"/>
              <w:jc w:val="center"/>
              <w:textAlignment w:val="auto"/>
              <w:outlineLvl w:val="9"/>
              <w:rPr>
                <w:rFonts w:hint="eastAsia" w:ascii="仿宋_GB2312" w:hAnsi="仿宋_GB2312" w:eastAsia="仿宋_GB2312" w:cs="仿宋_GB2312"/>
                <w:b w:val="0"/>
                <w:bCs w:val="0"/>
                <w:kern w:val="2"/>
                <w:sz w:val="24"/>
                <w:szCs w:val="24"/>
                <w:vertAlign w:val="baseline"/>
                <w:lang w:val="en-US" w:eastAsia="zh-CN" w:bidi="ar-SA"/>
              </w:rPr>
            </w:pPr>
          </w:p>
        </w:tc>
        <w:tc>
          <w:tcPr>
            <w:tcW w:w="2549" w:type="dxa"/>
            <w:vAlign w:val="center"/>
          </w:tcPr>
          <w:p w14:paraId="7B0B6349">
            <w:pPr>
              <w:keepNext/>
              <w:keepLines/>
              <w:pageBreakBefore w:val="0"/>
              <w:widowControl w:val="0"/>
              <w:numPr>
                <w:ilvl w:val="0"/>
                <w:numId w:val="0"/>
              </w:numPr>
              <w:kinsoku/>
              <w:wordWrap/>
              <w:overflowPunct/>
              <w:topLinePunct w:val="0"/>
              <w:autoSpaceDE/>
              <w:autoSpaceDN/>
              <w:bidi w:val="0"/>
              <w:adjustRightInd/>
              <w:snapToGrid/>
              <w:spacing w:before="0" w:after="0"/>
              <w:jc w:val="center"/>
              <w:textAlignment w:val="auto"/>
              <w:outlineLvl w:val="9"/>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sz w:val="24"/>
                <w:szCs w:val="24"/>
              </w:rPr>
              <w:t>机动车车上人员责任保险-驾驶人</w:t>
            </w:r>
          </w:p>
        </w:tc>
        <w:tc>
          <w:tcPr>
            <w:tcW w:w="2102" w:type="dxa"/>
            <w:vAlign w:val="center"/>
          </w:tcPr>
          <w:p w14:paraId="1C9E4F05">
            <w:pPr>
              <w:keepNext/>
              <w:keepLines/>
              <w:pageBreakBefore w:val="0"/>
              <w:widowControl w:val="0"/>
              <w:numPr>
                <w:ilvl w:val="0"/>
                <w:numId w:val="0"/>
              </w:numPr>
              <w:kinsoku/>
              <w:wordWrap/>
              <w:overflowPunct/>
              <w:topLinePunct w:val="0"/>
              <w:autoSpaceDE/>
              <w:autoSpaceDN/>
              <w:bidi w:val="0"/>
              <w:adjustRightInd/>
              <w:snapToGrid/>
              <w:spacing w:before="0" w:after="0"/>
              <w:jc w:val="center"/>
              <w:textAlignment w:val="auto"/>
              <w:outlineLvl w:val="9"/>
              <w:rPr>
                <w:rFonts w:hint="default"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sz w:val="24"/>
                <w:szCs w:val="24"/>
                <w:lang w:val="en-US" w:eastAsia="zh-CN"/>
              </w:rPr>
              <w:t>50万元</w:t>
            </w:r>
          </w:p>
        </w:tc>
        <w:tc>
          <w:tcPr>
            <w:tcW w:w="2102" w:type="dxa"/>
            <w:vAlign w:val="center"/>
          </w:tcPr>
          <w:p w14:paraId="4D411EBB">
            <w:pPr>
              <w:keepNext/>
              <w:keepLines/>
              <w:pageBreakBefore w:val="0"/>
              <w:widowControl w:val="0"/>
              <w:numPr>
                <w:ilvl w:val="0"/>
                <w:numId w:val="0"/>
              </w:numPr>
              <w:kinsoku/>
              <w:wordWrap/>
              <w:overflowPunct/>
              <w:topLinePunct w:val="0"/>
              <w:autoSpaceDE/>
              <w:autoSpaceDN/>
              <w:bidi w:val="0"/>
              <w:adjustRightInd/>
              <w:snapToGrid/>
              <w:spacing w:before="0" w:after="0"/>
              <w:jc w:val="center"/>
              <w:textAlignment w:val="auto"/>
              <w:outlineLvl w:val="9"/>
              <w:rPr>
                <w:rFonts w:hint="eastAsia" w:ascii="仿宋_GB2312" w:hAnsi="仿宋_GB2312" w:eastAsia="仿宋_GB2312" w:cs="仿宋_GB2312"/>
                <w:b w:val="0"/>
                <w:bCs w:val="0"/>
                <w:kern w:val="2"/>
                <w:sz w:val="24"/>
                <w:szCs w:val="24"/>
                <w:vertAlign w:val="baseline"/>
                <w:lang w:val="en-US" w:eastAsia="zh-CN" w:bidi="ar-SA"/>
              </w:rPr>
            </w:pPr>
          </w:p>
        </w:tc>
      </w:tr>
      <w:tr w14:paraId="1F4F4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dxa"/>
            <w:vMerge w:val="continue"/>
            <w:vAlign w:val="center"/>
          </w:tcPr>
          <w:p w14:paraId="1D176488">
            <w:pPr>
              <w:rPr>
                <w:rFonts w:hint="eastAsia" w:ascii="仿宋_GB2312" w:hAnsi="仿宋_GB2312" w:eastAsia="仿宋_GB2312" w:cs="仿宋_GB2312"/>
                <w:sz w:val="24"/>
                <w:szCs w:val="24"/>
                <w:lang w:val="en-US" w:eastAsia="zh-CN"/>
              </w:rPr>
            </w:pPr>
          </w:p>
        </w:tc>
        <w:tc>
          <w:tcPr>
            <w:tcW w:w="961" w:type="dxa"/>
            <w:vMerge w:val="continue"/>
            <w:vAlign w:val="center"/>
          </w:tcPr>
          <w:p w14:paraId="6635A58B">
            <w:pPr>
              <w:keepNext/>
              <w:keepLines/>
              <w:pageBreakBefore w:val="0"/>
              <w:widowControl w:val="0"/>
              <w:numPr>
                <w:ilvl w:val="0"/>
                <w:numId w:val="0"/>
              </w:numPr>
              <w:kinsoku/>
              <w:wordWrap/>
              <w:overflowPunct/>
              <w:topLinePunct w:val="0"/>
              <w:autoSpaceDE/>
              <w:autoSpaceDN/>
              <w:bidi w:val="0"/>
              <w:adjustRightInd/>
              <w:snapToGrid/>
              <w:spacing w:before="0" w:after="0"/>
              <w:jc w:val="center"/>
              <w:textAlignment w:val="auto"/>
              <w:outlineLvl w:val="9"/>
              <w:rPr>
                <w:rFonts w:hint="eastAsia" w:ascii="仿宋_GB2312" w:hAnsi="仿宋_GB2312" w:eastAsia="仿宋_GB2312" w:cs="仿宋_GB2312"/>
                <w:b w:val="0"/>
                <w:bCs w:val="0"/>
                <w:kern w:val="2"/>
                <w:sz w:val="24"/>
                <w:szCs w:val="24"/>
                <w:vertAlign w:val="baseline"/>
                <w:lang w:val="en-US" w:eastAsia="zh-CN" w:bidi="ar-SA"/>
              </w:rPr>
            </w:pPr>
          </w:p>
        </w:tc>
        <w:tc>
          <w:tcPr>
            <w:tcW w:w="2549" w:type="dxa"/>
            <w:vAlign w:val="center"/>
          </w:tcPr>
          <w:p w14:paraId="60E90ABF">
            <w:pPr>
              <w:keepNext/>
              <w:keepLines/>
              <w:pageBreakBefore w:val="0"/>
              <w:widowControl w:val="0"/>
              <w:numPr>
                <w:ilvl w:val="0"/>
                <w:numId w:val="0"/>
              </w:numPr>
              <w:kinsoku/>
              <w:wordWrap/>
              <w:overflowPunct/>
              <w:topLinePunct w:val="0"/>
              <w:autoSpaceDE/>
              <w:autoSpaceDN/>
              <w:bidi w:val="0"/>
              <w:adjustRightInd/>
              <w:snapToGrid/>
              <w:spacing w:before="0" w:after="0"/>
              <w:jc w:val="center"/>
              <w:textAlignment w:val="auto"/>
              <w:outlineLvl w:val="9"/>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sz w:val="24"/>
                <w:szCs w:val="24"/>
              </w:rPr>
              <w:t>机动车车上人员责任保险-乘客</w:t>
            </w:r>
          </w:p>
        </w:tc>
        <w:tc>
          <w:tcPr>
            <w:tcW w:w="2102" w:type="dxa"/>
            <w:vAlign w:val="center"/>
          </w:tcPr>
          <w:p w14:paraId="41E5DAEA">
            <w:pPr>
              <w:keepNext/>
              <w:keepLines/>
              <w:pageBreakBefore w:val="0"/>
              <w:widowControl w:val="0"/>
              <w:numPr>
                <w:ilvl w:val="0"/>
                <w:numId w:val="0"/>
              </w:numPr>
              <w:kinsoku/>
              <w:wordWrap/>
              <w:overflowPunct/>
              <w:topLinePunct w:val="0"/>
              <w:autoSpaceDE/>
              <w:autoSpaceDN/>
              <w:bidi w:val="0"/>
              <w:adjustRightInd/>
              <w:snapToGrid/>
              <w:spacing w:before="0" w:after="0"/>
              <w:jc w:val="center"/>
              <w:textAlignment w:val="auto"/>
              <w:outlineLvl w:val="9"/>
              <w:rPr>
                <w:rFonts w:hint="default"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sz w:val="24"/>
                <w:szCs w:val="24"/>
                <w:lang w:val="en-US" w:eastAsia="zh-CN"/>
              </w:rPr>
              <w:t>10万元/座*4座</w:t>
            </w:r>
          </w:p>
        </w:tc>
        <w:tc>
          <w:tcPr>
            <w:tcW w:w="2102" w:type="dxa"/>
            <w:vAlign w:val="center"/>
          </w:tcPr>
          <w:p w14:paraId="33B98166">
            <w:pPr>
              <w:keepNext/>
              <w:keepLines/>
              <w:pageBreakBefore w:val="0"/>
              <w:widowControl w:val="0"/>
              <w:numPr>
                <w:ilvl w:val="0"/>
                <w:numId w:val="0"/>
              </w:numPr>
              <w:kinsoku/>
              <w:wordWrap/>
              <w:overflowPunct/>
              <w:topLinePunct w:val="0"/>
              <w:autoSpaceDE/>
              <w:autoSpaceDN/>
              <w:bidi w:val="0"/>
              <w:adjustRightInd/>
              <w:snapToGrid/>
              <w:spacing w:before="0" w:after="0"/>
              <w:jc w:val="center"/>
              <w:textAlignment w:val="auto"/>
              <w:outlineLvl w:val="9"/>
              <w:rPr>
                <w:rFonts w:hint="eastAsia" w:ascii="仿宋_GB2312" w:hAnsi="仿宋_GB2312" w:eastAsia="仿宋_GB2312" w:cs="仿宋_GB2312"/>
                <w:b w:val="0"/>
                <w:bCs w:val="0"/>
                <w:kern w:val="2"/>
                <w:sz w:val="24"/>
                <w:szCs w:val="24"/>
                <w:vertAlign w:val="baseline"/>
                <w:lang w:val="en-US" w:eastAsia="zh-CN" w:bidi="ar-SA"/>
              </w:rPr>
            </w:pPr>
          </w:p>
        </w:tc>
      </w:tr>
      <w:tr w14:paraId="55B75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dxa"/>
            <w:vMerge w:val="continue"/>
            <w:vAlign w:val="center"/>
          </w:tcPr>
          <w:p w14:paraId="1BC2CAC0">
            <w:pPr>
              <w:rPr>
                <w:rFonts w:hint="eastAsia" w:ascii="仿宋_GB2312" w:hAnsi="仿宋_GB2312" w:eastAsia="仿宋_GB2312" w:cs="仿宋_GB2312"/>
                <w:sz w:val="24"/>
                <w:szCs w:val="24"/>
                <w:lang w:val="en-US" w:eastAsia="zh-CN"/>
              </w:rPr>
            </w:pPr>
          </w:p>
        </w:tc>
        <w:tc>
          <w:tcPr>
            <w:tcW w:w="961" w:type="dxa"/>
            <w:vMerge w:val="continue"/>
            <w:vAlign w:val="center"/>
          </w:tcPr>
          <w:p w14:paraId="4F69EE11">
            <w:pPr>
              <w:keepNext/>
              <w:keepLines/>
              <w:pageBreakBefore w:val="0"/>
              <w:widowControl w:val="0"/>
              <w:numPr>
                <w:ilvl w:val="0"/>
                <w:numId w:val="0"/>
              </w:numPr>
              <w:kinsoku/>
              <w:wordWrap/>
              <w:overflowPunct/>
              <w:topLinePunct w:val="0"/>
              <w:autoSpaceDE/>
              <w:autoSpaceDN/>
              <w:bidi w:val="0"/>
              <w:adjustRightInd/>
              <w:snapToGrid/>
              <w:spacing w:before="0" w:after="0"/>
              <w:jc w:val="center"/>
              <w:textAlignment w:val="auto"/>
              <w:outlineLvl w:val="9"/>
              <w:rPr>
                <w:rFonts w:hint="eastAsia" w:ascii="仿宋_GB2312" w:hAnsi="仿宋_GB2312" w:eastAsia="仿宋_GB2312" w:cs="仿宋_GB2312"/>
                <w:b w:val="0"/>
                <w:bCs w:val="0"/>
                <w:kern w:val="2"/>
                <w:sz w:val="24"/>
                <w:szCs w:val="24"/>
                <w:vertAlign w:val="baseline"/>
                <w:lang w:val="en-US" w:eastAsia="zh-CN" w:bidi="ar-SA"/>
              </w:rPr>
            </w:pPr>
          </w:p>
        </w:tc>
        <w:tc>
          <w:tcPr>
            <w:tcW w:w="2549" w:type="dxa"/>
            <w:vAlign w:val="center"/>
          </w:tcPr>
          <w:p w14:paraId="059406C8">
            <w:pPr>
              <w:keepNext/>
              <w:keepLines/>
              <w:pageBreakBefore w:val="0"/>
              <w:widowControl w:val="0"/>
              <w:numPr>
                <w:ilvl w:val="0"/>
                <w:numId w:val="0"/>
              </w:numPr>
              <w:kinsoku/>
              <w:wordWrap/>
              <w:overflowPunct/>
              <w:topLinePunct w:val="0"/>
              <w:autoSpaceDE/>
              <w:autoSpaceDN/>
              <w:bidi w:val="0"/>
              <w:adjustRightInd/>
              <w:snapToGrid/>
              <w:spacing w:before="0" w:after="0"/>
              <w:jc w:val="center"/>
              <w:textAlignment w:val="auto"/>
              <w:outlineLvl w:val="9"/>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sz w:val="24"/>
                <w:szCs w:val="24"/>
              </w:rPr>
              <w:t>附加医保外医疗费用责任险</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机动车第三者责任保险</w:t>
            </w:r>
            <w:r>
              <w:rPr>
                <w:rFonts w:hint="eastAsia" w:ascii="仿宋_GB2312" w:hAnsi="仿宋_GB2312" w:eastAsia="仿宋_GB2312" w:cs="仿宋_GB2312"/>
                <w:sz w:val="24"/>
                <w:szCs w:val="24"/>
                <w:lang w:val="en-US" w:eastAsia="zh-CN"/>
              </w:rPr>
              <w:t>)</w:t>
            </w:r>
          </w:p>
        </w:tc>
        <w:tc>
          <w:tcPr>
            <w:tcW w:w="2102" w:type="dxa"/>
            <w:vAlign w:val="center"/>
          </w:tcPr>
          <w:p w14:paraId="0FD08420">
            <w:pPr>
              <w:keepNext/>
              <w:keepLines/>
              <w:pageBreakBefore w:val="0"/>
              <w:widowControl w:val="0"/>
              <w:numPr>
                <w:ilvl w:val="0"/>
                <w:numId w:val="0"/>
              </w:numPr>
              <w:kinsoku/>
              <w:wordWrap/>
              <w:overflowPunct/>
              <w:topLinePunct w:val="0"/>
              <w:autoSpaceDE/>
              <w:autoSpaceDN/>
              <w:bidi w:val="0"/>
              <w:adjustRightInd/>
              <w:snapToGrid/>
              <w:spacing w:before="0" w:after="0"/>
              <w:jc w:val="center"/>
              <w:textAlignment w:val="auto"/>
              <w:outlineLvl w:val="9"/>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sz w:val="24"/>
                <w:szCs w:val="24"/>
              </w:rPr>
              <w:t>200万元</w:t>
            </w:r>
          </w:p>
        </w:tc>
        <w:tc>
          <w:tcPr>
            <w:tcW w:w="2102" w:type="dxa"/>
            <w:vAlign w:val="center"/>
          </w:tcPr>
          <w:p w14:paraId="2C73371E">
            <w:pPr>
              <w:keepNext/>
              <w:keepLines/>
              <w:pageBreakBefore w:val="0"/>
              <w:widowControl w:val="0"/>
              <w:numPr>
                <w:ilvl w:val="0"/>
                <w:numId w:val="0"/>
              </w:numPr>
              <w:kinsoku/>
              <w:wordWrap/>
              <w:overflowPunct/>
              <w:topLinePunct w:val="0"/>
              <w:autoSpaceDE/>
              <w:autoSpaceDN/>
              <w:bidi w:val="0"/>
              <w:adjustRightInd/>
              <w:snapToGrid/>
              <w:spacing w:before="0" w:after="0"/>
              <w:jc w:val="center"/>
              <w:textAlignment w:val="auto"/>
              <w:outlineLvl w:val="9"/>
              <w:rPr>
                <w:rFonts w:hint="eastAsia" w:ascii="仿宋_GB2312" w:hAnsi="仿宋_GB2312" w:eastAsia="仿宋_GB2312" w:cs="仿宋_GB2312"/>
                <w:b w:val="0"/>
                <w:bCs w:val="0"/>
                <w:kern w:val="2"/>
                <w:sz w:val="24"/>
                <w:szCs w:val="24"/>
                <w:vertAlign w:val="baseline"/>
                <w:lang w:val="en-US" w:eastAsia="zh-CN" w:bidi="ar-SA"/>
              </w:rPr>
            </w:pPr>
          </w:p>
        </w:tc>
      </w:tr>
    </w:tbl>
    <w:p w14:paraId="6B60FDD1">
      <w:pPr>
        <w:keepNext/>
        <w:keepLines/>
        <w:pageBreakBefore w:val="0"/>
        <w:widowControl w:val="0"/>
        <w:numPr>
          <w:ilvl w:val="0"/>
          <w:numId w:val="0"/>
        </w:numPr>
        <w:kinsoku/>
        <w:wordWrap/>
        <w:overflowPunct/>
        <w:topLinePunct w:val="0"/>
        <w:autoSpaceDE/>
        <w:autoSpaceDN/>
        <w:bidi w:val="0"/>
        <w:adjustRightInd/>
        <w:snapToGrid/>
        <w:spacing w:before="0" w:after="0"/>
        <w:textAlignment w:val="auto"/>
        <w:outlineLvl w:val="9"/>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三、</w:t>
      </w:r>
      <w:bookmarkStart w:id="0" w:name="_GoBack"/>
      <w:bookmarkEnd w:id="0"/>
      <w:r>
        <w:rPr>
          <w:rFonts w:hint="eastAsia" w:ascii="仿宋_GB2312" w:hAnsi="仿宋_GB2312" w:eastAsia="仿宋_GB2312" w:cs="仿宋_GB2312"/>
          <w:b/>
          <w:bCs/>
          <w:sz w:val="24"/>
          <w:szCs w:val="24"/>
          <w:lang w:val="en-US" w:eastAsia="zh-CN"/>
        </w:rPr>
        <w:t>服务要求</w:t>
      </w:r>
    </w:p>
    <w:p w14:paraId="3392570D">
      <w:pPr>
        <w:keepNext/>
        <w:keepLines/>
        <w:pageBreakBefore w:val="0"/>
        <w:widowControl w:val="0"/>
        <w:kinsoku/>
        <w:wordWrap/>
        <w:overflowPunct/>
        <w:topLinePunct w:val="0"/>
        <w:autoSpaceDE/>
        <w:autoSpaceDN/>
        <w:bidi w:val="0"/>
        <w:adjustRightInd/>
        <w:snapToGrid/>
        <w:spacing w:before="0" w:after="0"/>
        <w:textAlignment w:val="auto"/>
        <w:outlineLvl w:val="9"/>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1.承保服务</w:t>
      </w:r>
    </w:p>
    <w:p w14:paraId="7A2201A0">
      <w:pPr>
        <w:keepNext/>
        <w:keepLines/>
        <w:pageBreakBefore w:val="0"/>
        <w:widowControl w:val="0"/>
        <w:kinsoku/>
        <w:wordWrap/>
        <w:overflowPunct/>
        <w:topLinePunct w:val="0"/>
        <w:autoSpaceDE/>
        <w:autoSpaceDN/>
        <w:bidi w:val="0"/>
        <w:adjustRightInd/>
        <w:snapToGrid/>
        <w:spacing w:before="0" w:after="0"/>
        <w:textAlignment w:val="auto"/>
        <w:outlineLvl w:val="9"/>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（1）中标人须指派服务专员提供保险购买、出险定损、理赔、结算等全过程服务；</w:t>
      </w:r>
    </w:p>
    <w:p w14:paraId="34C1E659">
      <w:pPr>
        <w:keepNext/>
        <w:keepLines/>
        <w:pageBreakBefore w:val="0"/>
        <w:widowControl w:val="0"/>
        <w:kinsoku/>
        <w:wordWrap/>
        <w:overflowPunct/>
        <w:topLinePunct w:val="0"/>
        <w:autoSpaceDE/>
        <w:autoSpaceDN/>
        <w:bidi w:val="0"/>
        <w:adjustRightInd/>
        <w:snapToGrid/>
        <w:spacing w:before="0" w:after="0"/>
        <w:textAlignment w:val="auto"/>
        <w:outlineLvl w:val="9"/>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（2）中标人须提供7×24小时热线电话，受理采购人咨询及处理各类事故报案，并在10分钟内完成首次调度；</w:t>
      </w:r>
    </w:p>
    <w:p w14:paraId="12510815">
      <w:pPr>
        <w:keepNext/>
        <w:keepLines/>
        <w:pageBreakBefore w:val="0"/>
        <w:widowControl w:val="0"/>
        <w:kinsoku/>
        <w:wordWrap/>
        <w:overflowPunct/>
        <w:topLinePunct w:val="0"/>
        <w:autoSpaceDE/>
        <w:autoSpaceDN/>
        <w:bidi w:val="0"/>
        <w:adjustRightInd/>
        <w:snapToGrid/>
        <w:spacing w:before="0" w:after="0"/>
        <w:textAlignment w:val="auto"/>
        <w:outlineLvl w:val="9"/>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（3）中标人须提供通过线上查询承保理赔数据服务，采购人可通过该系统查询所投保的每辆车的投保、出险、理赔等数据；</w:t>
      </w:r>
    </w:p>
    <w:p w14:paraId="6938D5BA">
      <w:pPr>
        <w:keepNext/>
        <w:keepLines/>
        <w:pageBreakBefore w:val="0"/>
        <w:widowControl w:val="0"/>
        <w:kinsoku/>
        <w:wordWrap/>
        <w:overflowPunct/>
        <w:topLinePunct w:val="0"/>
        <w:autoSpaceDE/>
        <w:autoSpaceDN/>
        <w:bidi w:val="0"/>
        <w:adjustRightInd/>
        <w:snapToGrid/>
        <w:spacing w:before="0" w:after="0"/>
        <w:textAlignment w:val="auto"/>
        <w:outlineLvl w:val="9"/>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（4）对于采购人的报废车辆，中标人应在收到采购人提供的盖章申请材料之日起对报废车辆进行退费处理。</w:t>
      </w:r>
    </w:p>
    <w:p w14:paraId="12D61155">
      <w:pPr>
        <w:keepNext/>
        <w:keepLines/>
        <w:pageBreakBefore w:val="0"/>
        <w:widowControl w:val="0"/>
        <w:kinsoku/>
        <w:wordWrap/>
        <w:overflowPunct/>
        <w:topLinePunct w:val="0"/>
        <w:autoSpaceDE/>
        <w:autoSpaceDN/>
        <w:bidi w:val="0"/>
        <w:adjustRightInd/>
        <w:snapToGrid/>
        <w:spacing w:before="0" w:after="0"/>
        <w:textAlignment w:val="auto"/>
        <w:outlineLvl w:val="9"/>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2.理赔服务</w:t>
      </w:r>
    </w:p>
    <w:p w14:paraId="4183384A">
      <w:pPr>
        <w:keepNext/>
        <w:keepLines/>
        <w:pageBreakBefore w:val="0"/>
        <w:widowControl w:val="0"/>
        <w:kinsoku/>
        <w:wordWrap/>
        <w:overflowPunct/>
        <w:topLinePunct w:val="0"/>
        <w:autoSpaceDE/>
        <w:autoSpaceDN/>
        <w:bidi w:val="0"/>
        <w:adjustRightInd/>
        <w:snapToGrid/>
        <w:spacing w:before="0" w:after="0"/>
        <w:textAlignment w:val="auto"/>
        <w:outlineLvl w:val="9"/>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中标人须提供全天候24小时查勘定损服务，查勘人员在接到查勘调度任务后，应在10分钟内主动与报案人取得联系，初步了解案件情况，确认具体的出险地点或引导客户进行线上自助理赔操作；经初步判断需进行现场查勘的，立刻调派人员第一时间赶赴现场勘查、优先安排定损人员到修理厂进行定损，并承诺时限（深圳市内理赔人员应于30分钟内赶到现场；广东省内其他市县应于2小时内赶到现场或直接委托当地本系统保险机构理赔人员30分钟内赶赴现场；如因恶劣天气、交通阻塞、路途遥远等原因无法按时到达查勘地点的，查勘人员应按照自行承诺的到达时限内主动与报案人沟通，协商变更查勘现场的时间）；</w:t>
      </w:r>
    </w:p>
    <w:p w14:paraId="436DC474">
      <w:pPr>
        <w:keepNext/>
        <w:keepLines/>
        <w:pageBreakBefore w:val="0"/>
        <w:widowControl w:val="0"/>
        <w:kinsoku/>
        <w:wordWrap/>
        <w:overflowPunct/>
        <w:topLinePunct w:val="0"/>
        <w:autoSpaceDE/>
        <w:autoSpaceDN/>
        <w:bidi w:val="0"/>
        <w:adjustRightInd/>
        <w:snapToGrid/>
        <w:spacing w:before="0" w:after="0"/>
        <w:textAlignment w:val="auto"/>
        <w:outlineLvl w:val="9"/>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（2）单方纯车损事故，车辆能正常行驶，可通过线上完成查勘；</w:t>
      </w:r>
    </w:p>
    <w:p w14:paraId="6F2FEFBD">
      <w:pPr>
        <w:keepNext/>
        <w:keepLines/>
        <w:pageBreakBefore w:val="0"/>
        <w:widowControl w:val="0"/>
        <w:kinsoku/>
        <w:wordWrap/>
        <w:overflowPunct/>
        <w:topLinePunct w:val="0"/>
        <w:autoSpaceDE/>
        <w:autoSpaceDN/>
        <w:bidi w:val="0"/>
        <w:adjustRightInd/>
        <w:snapToGrid/>
        <w:spacing w:before="0" w:after="0"/>
        <w:textAlignment w:val="auto"/>
        <w:outlineLvl w:val="9"/>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（3）采购人内部车辆发生碰撞，中标人须承担保险责任，由责任方报案，无责方无须报案；</w:t>
      </w:r>
    </w:p>
    <w:p w14:paraId="46207338">
      <w:pPr>
        <w:keepNext/>
        <w:keepLines/>
        <w:pageBreakBefore w:val="0"/>
        <w:widowControl w:val="0"/>
        <w:kinsoku/>
        <w:wordWrap/>
        <w:overflowPunct/>
        <w:topLinePunct w:val="0"/>
        <w:autoSpaceDE/>
        <w:autoSpaceDN/>
        <w:bidi w:val="0"/>
        <w:adjustRightInd/>
        <w:snapToGrid/>
        <w:spacing w:before="0" w:after="0"/>
        <w:textAlignment w:val="auto"/>
        <w:outlineLvl w:val="9"/>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（4）中标人须允许采购人自主选择维修厂进行事故车辆的维修；</w:t>
      </w:r>
    </w:p>
    <w:p w14:paraId="6CA31B7B">
      <w:pPr>
        <w:keepNext/>
        <w:keepLines/>
        <w:pageBreakBefore w:val="0"/>
        <w:widowControl w:val="0"/>
        <w:kinsoku/>
        <w:wordWrap/>
        <w:overflowPunct/>
        <w:topLinePunct w:val="0"/>
        <w:autoSpaceDE/>
        <w:autoSpaceDN/>
        <w:bidi w:val="0"/>
        <w:adjustRightInd/>
        <w:snapToGrid/>
        <w:spacing w:before="0" w:after="0"/>
        <w:textAlignment w:val="auto"/>
        <w:outlineLvl w:val="9"/>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（5）投保车辆出险导致全损，赔付金额不低于同款车辆的同期实际价值且不低于车辆的投保价值；</w:t>
      </w:r>
    </w:p>
    <w:p w14:paraId="51FDBF07">
      <w:pPr>
        <w:keepNext/>
        <w:keepLines/>
        <w:pageBreakBefore w:val="0"/>
        <w:widowControl w:val="0"/>
        <w:kinsoku/>
        <w:wordWrap/>
        <w:overflowPunct/>
        <w:topLinePunct w:val="0"/>
        <w:autoSpaceDE/>
        <w:autoSpaceDN/>
        <w:bidi w:val="0"/>
        <w:adjustRightInd/>
        <w:snapToGrid/>
        <w:spacing w:before="0" w:after="0"/>
        <w:textAlignment w:val="auto"/>
        <w:outlineLvl w:val="9"/>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6）中标人保证采购人获得优先服务权利，并说明特别针对采购人车辆所安排的交通事故快速处理及保险快速理赔程序，对电子网络化理赔服务做出具体的措施并宣导；用车单位通过修理厂渠道而非保险经纪人向中标人进行索赔时，中标人也应当按照公务车辆事故进行快速处理；</w:t>
      </w:r>
    </w:p>
    <w:p w14:paraId="5224C259">
      <w:pPr>
        <w:keepNext/>
        <w:keepLines/>
        <w:pageBreakBefore w:val="0"/>
        <w:widowControl w:val="0"/>
        <w:kinsoku/>
        <w:wordWrap/>
        <w:overflowPunct/>
        <w:topLinePunct w:val="0"/>
        <w:autoSpaceDE/>
        <w:autoSpaceDN/>
        <w:bidi w:val="0"/>
        <w:adjustRightInd/>
        <w:snapToGrid/>
        <w:spacing w:before="0" w:after="0"/>
        <w:textAlignment w:val="auto"/>
        <w:outlineLvl w:val="9"/>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（7）当发生估计损失超过3万元，且采购人暂时无法提供索赔手续而明显属于保险责任范围之内的案件，投标人须应采购人的要求提供预赔服务；</w:t>
      </w:r>
    </w:p>
    <w:p w14:paraId="109CC61D">
      <w:pPr>
        <w:keepNext/>
        <w:keepLines/>
        <w:pageBreakBefore w:val="0"/>
        <w:widowControl w:val="0"/>
        <w:kinsoku/>
        <w:wordWrap/>
        <w:overflowPunct/>
        <w:topLinePunct w:val="0"/>
        <w:autoSpaceDE/>
        <w:autoSpaceDN/>
        <w:bidi w:val="0"/>
        <w:adjustRightInd/>
        <w:snapToGrid/>
        <w:spacing w:before="0" w:after="0"/>
        <w:textAlignment w:val="auto"/>
        <w:outlineLvl w:val="9"/>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（8）轻微人伤案件，责任无争议，经中标人查勘认可后，双方现场协商赔付，提供协议调解书及其收据正常赔付，无须报交警；</w:t>
      </w:r>
    </w:p>
    <w:p w14:paraId="63FCA823">
      <w:pPr>
        <w:keepNext/>
        <w:keepLines/>
        <w:pageBreakBefore w:val="0"/>
        <w:widowControl w:val="0"/>
        <w:kinsoku/>
        <w:wordWrap/>
        <w:overflowPunct/>
        <w:topLinePunct w:val="0"/>
        <w:autoSpaceDE/>
        <w:autoSpaceDN/>
        <w:bidi w:val="0"/>
        <w:adjustRightInd/>
        <w:snapToGrid/>
        <w:spacing w:before="0" w:after="0"/>
        <w:textAlignment w:val="auto"/>
        <w:outlineLvl w:val="9"/>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9）当发生三者人伤的保险事故，中标人须提供全程保险咨询服务（相关费用包含在总报价中），并指定具有专业处理伤人事故丰富经验的人员作为本项目核损专员，并对事故中的伤者的抢救费进行相应额度的垫付；</w:t>
      </w:r>
    </w:p>
    <w:p w14:paraId="7E0747EA">
      <w:pPr>
        <w:keepNext/>
        <w:keepLines/>
        <w:pageBreakBefore w:val="0"/>
        <w:widowControl w:val="0"/>
        <w:kinsoku/>
        <w:wordWrap/>
        <w:overflowPunct/>
        <w:topLinePunct w:val="0"/>
        <w:autoSpaceDE/>
        <w:autoSpaceDN/>
        <w:bidi w:val="0"/>
        <w:adjustRightInd/>
        <w:snapToGrid/>
        <w:spacing w:before="0" w:after="0"/>
        <w:textAlignment w:val="auto"/>
        <w:outlineLvl w:val="9"/>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（10）发生车上人员及第三者人身伤亡、财产损失等事故，损失金额在3000元以下的案件免现场查勘；</w:t>
      </w:r>
    </w:p>
    <w:p w14:paraId="531BB142">
      <w:pPr>
        <w:keepNext/>
        <w:keepLines/>
        <w:pageBreakBefore w:val="0"/>
        <w:widowControl w:val="0"/>
        <w:kinsoku/>
        <w:wordWrap/>
        <w:overflowPunct/>
        <w:topLinePunct w:val="0"/>
        <w:autoSpaceDE/>
        <w:autoSpaceDN/>
        <w:bidi w:val="0"/>
        <w:adjustRightInd/>
        <w:snapToGrid/>
        <w:spacing w:before="0" w:after="0"/>
        <w:textAlignment w:val="auto"/>
        <w:outlineLvl w:val="9"/>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（11）发生事故后，若就赔偿结果无法达成一致，中标人须同意并认可采购人聘请的其他专业机构进行的损失鉴定，产生的鉴定费用由中标人承担；</w:t>
      </w:r>
    </w:p>
    <w:p w14:paraId="60B917D6">
      <w:pPr>
        <w:keepNext/>
        <w:keepLines/>
        <w:pageBreakBefore w:val="0"/>
        <w:widowControl w:val="0"/>
        <w:kinsoku/>
        <w:wordWrap/>
        <w:overflowPunct/>
        <w:topLinePunct w:val="0"/>
        <w:autoSpaceDE/>
        <w:autoSpaceDN/>
        <w:bidi w:val="0"/>
        <w:adjustRightInd/>
        <w:snapToGrid/>
        <w:spacing w:before="0" w:after="0"/>
        <w:textAlignment w:val="auto"/>
        <w:outlineLvl w:val="9"/>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（12）发生保险责任范围内的事故时，采购人责任份额内已确定的损失可由中标人依据保单条款约定计算赔款并直接支付三者；</w:t>
      </w:r>
    </w:p>
    <w:p w14:paraId="2952C02D">
      <w:pPr>
        <w:keepNext/>
        <w:keepLines/>
        <w:pageBreakBefore w:val="0"/>
        <w:widowControl w:val="0"/>
        <w:kinsoku/>
        <w:wordWrap/>
        <w:overflowPunct/>
        <w:topLinePunct w:val="0"/>
        <w:autoSpaceDE/>
        <w:autoSpaceDN/>
        <w:bidi w:val="0"/>
        <w:adjustRightInd/>
        <w:snapToGrid/>
        <w:spacing w:before="0" w:after="0"/>
        <w:textAlignment w:val="auto"/>
        <w:outlineLvl w:val="9"/>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13）为减少因矛盾和纠纷，投标人应当设置合议赔付方案，合议赔付包括但不限于以下情形：1）项目保险责任存在争议的；2）虽保险责任不存在争议，但案件产生负面社会舆论影响的；3）维修机构、修理项目、方式和费用等双方存在争议的；4）营运车辆提出的误工费赔付；5）采购人要求的其他情形。投标人应当详细列明合议赔付适用的情形、解决方案及额度；</w:t>
      </w:r>
    </w:p>
    <w:p w14:paraId="0618CFB9">
      <w:pPr>
        <w:keepNext/>
        <w:keepLines/>
        <w:pageBreakBefore w:val="0"/>
        <w:widowControl w:val="0"/>
        <w:kinsoku/>
        <w:wordWrap/>
        <w:overflowPunct/>
        <w:topLinePunct w:val="0"/>
        <w:autoSpaceDE/>
        <w:autoSpaceDN/>
        <w:bidi w:val="0"/>
        <w:adjustRightInd/>
        <w:snapToGrid/>
        <w:spacing w:before="0" w:after="0"/>
        <w:textAlignment w:val="auto"/>
        <w:outlineLvl w:val="9"/>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（14）投标人应在投标文件中详细列明不同险种不同赔案所需的资料以及赔案定损、结案赔付时限承诺，并明确服务过程未依据服务承诺及时限的保证措施及罚则。具体包括：</w:t>
      </w:r>
    </w:p>
    <w:p w14:paraId="04149813">
      <w:pPr>
        <w:keepNext/>
        <w:keepLines/>
        <w:pageBreakBefore w:val="0"/>
        <w:widowControl w:val="0"/>
        <w:kinsoku/>
        <w:wordWrap/>
        <w:overflowPunct/>
        <w:topLinePunct w:val="0"/>
        <w:autoSpaceDE/>
        <w:autoSpaceDN/>
        <w:bidi w:val="0"/>
        <w:adjustRightInd/>
        <w:snapToGrid/>
        <w:spacing w:before="0" w:after="0"/>
        <w:textAlignment w:val="auto"/>
        <w:outlineLvl w:val="9"/>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1）明确索赔单证：在投标文件中明确各不同险种不同类型案件采购人需提供的索赔资料，所需索赔资料需合情合理合法；</w:t>
      </w:r>
    </w:p>
    <w:p w14:paraId="0C0F51FA">
      <w:pPr>
        <w:keepNext/>
        <w:keepLines/>
        <w:pageBreakBefore w:val="0"/>
        <w:widowControl w:val="0"/>
        <w:kinsoku/>
        <w:wordWrap/>
        <w:overflowPunct/>
        <w:topLinePunct w:val="0"/>
        <w:autoSpaceDE/>
        <w:autoSpaceDN/>
        <w:bidi w:val="0"/>
        <w:adjustRightInd/>
        <w:snapToGrid/>
        <w:spacing w:before="0" w:after="0"/>
        <w:textAlignment w:val="auto"/>
        <w:outlineLvl w:val="9"/>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2）采购人提供索赔资料不完整的，中标人应及时一次性告知补充材料、后续理赔流程及相关注意事项等必要信息；</w:t>
      </w:r>
    </w:p>
    <w:p w14:paraId="3C3C1879">
      <w:pPr>
        <w:keepNext/>
        <w:keepLines/>
        <w:pageBreakBefore w:val="0"/>
        <w:widowControl w:val="0"/>
        <w:kinsoku/>
        <w:wordWrap/>
        <w:overflowPunct/>
        <w:topLinePunct w:val="0"/>
        <w:autoSpaceDE/>
        <w:autoSpaceDN/>
        <w:bidi w:val="0"/>
        <w:adjustRightInd/>
        <w:snapToGrid/>
        <w:spacing w:before="0" w:after="0"/>
        <w:textAlignment w:val="auto"/>
        <w:outlineLvl w:val="9"/>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3）赔款支付：①对于核定属于保险责任的理赔案件，中标人应依据保险合同与客户协商赔偿金额，并自达成之日起10内赔付，赔款成功支付后，应及时告知采购人；②对于核定属于保险责任，但赔偿金额不能确定的理赔案件，中标人应自收到赔偿请求及有关证明资料之日起60日内，根据已有证明和资料可确定的数额先予以支付。中标人最终确定赔偿保险金的数额后，应支付相应的差额；③对于核定不属于保险责任的理赔案件，保险公司应自核定之日起3日内发出拒赔通知书，并说明理由。</w:t>
      </w:r>
    </w:p>
    <w:p w14:paraId="5526366A">
      <w:pPr>
        <w:keepNext/>
        <w:keepLines/>
        <w:pageBreakBefore w:val="0"/>
        <w:widowControl w:val="0"/>
        <w:kinsoku/>
        <w:wordWrap/>
        <w:overflowPunct/>
        <w:topLinePunct w:val="0"/>
        <w:autoSpaceDE/>
        <w:autoSpaceDN/>
        <w:bidi w:val="0"/>
        <w:adjustRightInd/>
        <w:snapToGrid/>
        <w:spacing w:before="0" w:after="0"/>
        <w:textAlignment w:val="auto"/>
        <w:outlineLvl w:val="9"/>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（15）中标人应为本项目提供保密服务。</w:t>
      </w:r>
    </w:p>
    <w:sectPr>
      <w:footerReference r:id="rId3" w:type="default"/>
      <w:pgSz w:w="11906" w:h="16838"/>
      <w:pgMar w:top="1240" w:right="1800" w:bottom="1318" w:left="1800" w:header="851" w:footer="77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74E0D">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62E251"/>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D62E251"/>
                </w:txbxContent>
              </v:textbox>
            </v:shape>
          </w:pict>
        </mc:Fallback>
      </mc:AlternateContent>
    </w:r>
    <w:r>
      <w:rPr>
        <w:rFonts w:hint="eastAsia"/>
      </w:rPr>
      <w:t>公司2026年度车辆保险服务采购项目</w:t>
    </w:r>
    <w:r>
      <w:rPr>
        <w:rFonts w:hint="eastAsia"/>
        <w:lang w:val="en-US" w:eastAsia="zh-CN"/>
      </w:rPr>
      <w:t xml:space="preserve">  </w:t>
    </w: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594A5A"/>
    <w:rsid w:val="024C6472"/>
    <w:rsid w:val="02E132C9"/>
    <w:rsid w:val="046C750A"/>
    <w:rsid w:val="04B862AB"/>
    <w:rsid w:val="05DD2118"/>
    <w:rsid w:val="06707ABE"/>
    <w:rsid w:val="079274FA"/>
    <w:rsid w:val="07CA6A21"/>
    <w:rsid w:val="08DD2784"/>
    <w:rsid w:val="09497E1A"/>
    <w:rsid w:val="0B8F1221"/>
    <w:rsid w:val="0CA27F6D"/>
    <w:rsid w:val="0DA41AC3"/>
    <w:rsid w:val="0DC14423"/>
    <w:rsid w:val="0E4868F2"/>
    <w:rsid w:val="100076F8"/>
    <w:rsid w:val="10FE598E"/>
    <w:rsid w:val="12633CFA"/>
    <w:rsid w:val="126F6B43"/>
    <w:rsid w:val="134A6C68"/>
    <w:rsid w:val="13573133"/>
    <w:rsid w:val="13594A5A"/>
    <w:rsid w:val="13DD5D2E"/>
    <w:rsid w:val="140C0390"/>
    <w:rsid w:val="17141A67"/>
    <w:rsid w:val="18371EB1"/>
    <w:rsid w:val="198C1D89"/>
    <w:rsid w:val="1C161DDD"/>
    <w:rsid w:val="1DEC54EC"/>
    <w:rsid w:val="1E087E4C"/>
    <w:rsid w:val="1F9A2D26"/>
    <w:rsid w:val="1FA53BA4"/>
    <w:rsid w:val="21DE15EF"/>
    <w:rsid w:val="223E5BEA"/>
    <w:rsid w:val="22EC3898"/>
    <w:rsid w:val="23040BE2"/>
    <w:rsid w:val="245060A9"/>
    <w:rsid w:val="27440052"/>
    <w:rsid w:val="28836A4D"/>
    <w:rsid w:val="28893937"/>
    <w:rsid w:val="2A2E29E8"/>
    <w:rsid w:val="2A7A79DB"/>
    <w:rsid w:val="2A823C72"/>
    <w:rsid w:val="2BC2163A"/>
    <w:rsid w:val="2C5801F0"/>
    <w:rsid w:val="2E6C1D31"/>
    <w:rsid w:val="2F1A353B"/>
    <w:rsid w:val="2F974B8C"/>
    <w:rsid w:val="300264A9"/>
    <w:rsid w:val="30142680"/>
    <w:rsid w:val="31102E48"/>
    <w:rsid w:val="313A6212"/>
    <w:rsid w:val="320F4EAD"/>
    <w:rsid w:val="321E1594"/>
    <w:rsid w:val="32A93554"/>
    <w:rsid w:val="32B0285E"/>
    <w:rsid w:val="3369683F"/>
    <w:rsid w:val="35507CB7"/>
    <w:rsid w:val="363B44C3"/>
    <w:rsid w:val="376E6B1A"/>
    <w:rsid w:val="38481119"/>
    <w:rsid w:val="38912AC0"/>
    <w:rsid w:val="3B7A5A8D"/>
    <w:rsid w:val="3BC96A15"/>
    <w:rsid w:val="3BD83E3D"/>
    <w:rsid w:val="3C7626F9"/>
    <w:rsid w:val="3DBF00CF"/>
    <w:rsid w:val="3E9A1FA2"/>
    <w:rsid w:val="40D7128C"/>
    <w:rsid w:val="42725A73"/>
    <w:rsid w:val="43CD70F5"/>
    <w:rsid w:val="45A51959"/>
    <w:rsid w:val="45B24076"/>
    <w:rsid w:val="466F1F67"/>
    <w:rsid w:val="549E0B9F"/>
    <w:rsid w:val="54CA13DC"/>
    <w:rsid w:val="55560EC1"/>
    <w:rsid w:val="56EB388B"/>
    <w:rsid w:val="579655A5"/>
    <w:rsid w:val="59816F1D"/>
    <w:rsid w:val="5ABA15AB"/>
    <w:rsid w:val="5C02145B"/>
    <w:rsid w:val="5D027239"/>
    <w:rsid w:val="5DB04EE7"/>
    <w:rsid w:val="5E2F405E"/>
    <w:rsid w:val="6005151A"/>
    <w:rsid w:val="62B11178"/>
    <w:rsid w:val="65982E30"/>
    <w:rsid w:val="67852F40"/>
    <w:rsid w:val="68CB7079"/>
    <w:rsid w:val="68EE1920"/>
    <w:rsid w:val="6AEE64EC"/>
    <w:rsid w:val="6B4A697B"/>
    <w:rsid w:val="6BFF59B7"/>
    <w:rsid w:val="6DA852E7"/>
    <w:rsid w:val="6EDF562C"/>
    <w:rsid w:val="6FCD1928"/>
    <w:rsid w:val="720158B9"/>
    <w:rsid w:val="7289422C"/>
    <w:rsid w:val="73C51294"/>
    <w:rsid w:val="749B3DA3"/>
    <w:rsid w:val="74BA06F2"/>
    <w:rsid w:val="75644ADD"/>
    <w:rsid w:val="75E83018"/>
    <w:rsid w:val="75FA2D4B"/>
    <w:rsid w:val="77D221D2"/>
    <w:rsid w:val="781520BE"/>
    <w:rsid w:val="7855070D"/>
    <w:rsid w:val="7A3902E6"/>
    <w:rsid w:val="7B0C77A9"/>
    <w:rsid w:val="7BED75DA"/>
    <w:rsid w:val="7C914409"/>
    <w:rsid w:val="7CEC1640"/>
    <w:rsid w:val="7D384885"/>
    <w:rsid w:val="7DA55C93"/>
    <w:rsid w:val="7EDA196C"/>
    <w:rsid w:val="7F392B36"/>
    <w:rsid w:val="7F6D27E0"/>
    <w:rsid w:val="7FFD1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40" w:after="240"/>
      <w:outlineLvl w:val="1"/>
    </w:pPr>
    <w:rPr>
      <w:rFonts w:ascii="Arial" w:hAnsi="Arial" w:eastAsia="黑体"/>
      <w:b/>
      <w:bCs/>
      <w:sz w:val="32"/>
      <w:szCs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b/>
      <w:bCs/>
      <w:sz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2671</Words>
  <Characters>2770</Characters>
  <Lines>0</Lines>
  <Paragraphs>0</Paragraphs>
  <TotalTime>19</TotalTime>
  <ScaleCrop>false</ScaleCrop>
  <LinksUpToDate>false</LinksUpToDate>
  <CharactersWithSpaces>2771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2025-10-28T08:03:00Z</dcterms:created>
  <dc:creator>李贤杰</dc:creator>
  <cp:lastModifiedBy>李贤杰</cp:lastModifiedBy>
  <dcterms:modified xsi:type="dcterms:W3CDTF">2025-10-31T09:00:39Z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5CF85A1B15594857BC1EB5583A96CE73_13</vt:lpwstr>
  </property>
  <property fmtid="{D5CDD505-2E9C-101B-9397-08002B2CF9AE}" pid="4" name="KSOTemplateDocerSaveRecord">
    <vt:lpwstr>eyJoZGlkIjoiMTdlN2VjMmE1ZjQ3ZTgxYzE3ZDAxMTY0ZDRjYWY5NDEiLCJ1c2VySWQiOiIxMTk2OTU2NzM0In0=</vt:lpwstr>
  </property>
</Properties>
</file>